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39" w:rsidRPr="00156C06" w:rsidRDefault="00C24B39" w:rsidP="00C24B39">
      <w:pPr>
        <w:jc w:val="center"/>
        <w:rPr>
          <w:b/>
          <w:sz w:val="28"/>
          <w:szCs w:val="28"/>
        </w:rPr>
      </w:pPr>
      <w:bookmarkStart w:id="0" w:name="_GoBack"/>
      <w:bookmarkEnd w:id="0"/>
      <w:r w:rsidRPr="00156C06">
        <w:rPr>
          <w:b/>
          <w:sz w:val="28"/>
          <w:szCs w:val="28"/>
        </w:rPr>
        <w:t>Trends in Music Education 2010 to 2013</w:t>
      </w:r>
      <w:r w:rsidR="00C337C6">
        <w:rPr>
          <w:b/>
          <w:sz w:val="28"/>
          <w:szCs w:val="28"/>
        </w:rPr>
        <w:t xml:space="preserve"> – Interim </w:t>
      </w:r>
      <w:r w:rsidR="007E2F9A">
        <w:rPr>
          <w:b/>
          <w:sz w:val="28"/>
          <w:szCs w:val="28"/>
        </w:rPr>
        <w:t>Report March</w:t>
      </w:r>
      <w:r w:rsidR="00C337C6">
        <w:rPr>
          <w:b/>
          <w:sz w:val="28"/>
          <w:szCs w:val="28"/>
        </w:rPr>
        <w:t xml:space="preserve"> 2014</w:t>
      </w:r>
    </w:p>
    <w:p w:rsidR="00B92167" w:rsidRPr="00156C06" w:rsidRDefault="00B92167" w:rsidP="00B92167">
      <w:pPr>
        <w:rPr>
          <w:sz w:val="24"/>
          <w:szCs w:val="24"/>
        </w:rPr>
      </w:pPr>
      <w:r w:rsidRPr="00156C06">
        <w:rPr>
          <w:b/>
          <w:sz w:val="24"/>
          <w:szCs w:val="24"/>
          <w:u w:val="single"/>
        </w:rPr>
        <w:t>Introduction</w:t>
      </w:r>
      <w:r w:rsidR="001C1372" w:rsidRPr="00156C06">
        <w:rPr>
          <w:b/>
          <w:sz w:val="24"/>
          <w:szCs w:val="24"/>
          <w:u w:val="single"/>
        </w:rPr>
        <w:t xml:space="preserve"> and Background</w:t>
      </w:r>
    </w:p>
    <w:p w:rsidR="007B6F67" w:rsidRDefault="00B92167" w:rsidP="00B92167">
      <w:r>
        <w:t xml:space="preserve">From </w:t>
      </w:r>
      <w:r w:rsidR="002F0C90">
        <w:t>August</w:t>
      </w:r>
      <w:r>
        <w:t xml:space="preserve"> 2012 a significant change took place</w:t>
      </w:r>
      <w:r w:rsidR="002F0C90">
        <w:t xml:space="preserve"> in Music Education in England</w:t>
      </w:r>
      <w:r w:rsidR="007B6F67">
        <w:t xml:space="preserve">. </w:t>
      </w:r>
      <w:r w:rsidR="00A04F14">
        <w:t xml:space="preserve">Music Education </w:t>
      </w:r>
      <w:r w:rsidR="007B6F67">
        <w:t>H</w:t>
      </w:r>
      <w:r w:rsidR="002F0C90">
        <w:t xml:space="preserve">ubs came into being across </w:t>
      </w:r>
      <w:r w:rsidR="00EE3E7E">
        <w:t xml:space="preserve">the whole of </w:t>
      </w:r>
      <w:r w:rsidR="00A2462C">
        <w:t>England to deliver</w:t>
      </w:r>
      <w:r w:rsidR="002F0C90">
        <w:t xml:space="preserve"> core and extension </w:t>
      </w:r>
      <w:r w:rsidR="007B6F67">
        <w:t>roles</w:t>
      </w:r>
      <w:r w:rsidR="00980173">
        <w:rPr>
          <w:rStyle w:val="FootnoteReference"/>
        </w:rPr>
        <w:footnoteReference w:id="1"/>
      </w:r>
      <w:r w:rsidR="007B6F67">
        <w:t xml:space="preserve"> in </w:t>
      </w:r>
      <w:r w:rsidR="002F0C90">
        <w:t>the National Plan for Music Education</w:t>
      </w:r>
      <w:r w:rsidR="007B6F67">
        <w:t xml:space="preserve">. </w:t>
      </w:r>
      <w:r w:rsidR="002F0C90">
        <w:t>Department for Education funding was rout</w:t>
      </w:r>
      <w:r w:rsidR="007B6F67">
        <w:t>ed through Arts Council England</w:t>
      </w:r>
      <w:r w:rsidR="00EE07C1">
        <w:t xml:space="preserve"> (ACE)</w:t>
      </w:r>
      <w:r w:rsidR="007B6F67">
        <w:t xml:space="preserve"> to a lead organisation in each area following a grant application process.</w:t>
      </w:r>
    </w:p>
    <w:p w:rsidR="00B92167" w:rsidRDefault="007B6F67" w:rsidP="00B92167">
      <w:r>
        <w:t xml:space="preserve">In most cases, these lead organisations </w:t>
      </w:r>
      <w:r w:rsidR="009A123C">
        <w:t>were music services</w:t>
      </w:r>
      <w:r w:rsidR="0030460F">
        <w:t xml:space="preserve"> that, </w:t>
      </w:r>
      <w:r>
        <w:t>since 1998</w:t>
      </w:r>
      <w:r w:rsidR="0030460F">
        <w:t>, had been in receipt of</w:t>
      </w:r>
      <w:r>
        <w:t xml:space="preserve"> </w:t>
      </w:r>
      <w:r w:rsidR="001C1372">
        <w:t>central government funding</w:t>
      </w:r>
      <w:r w:rsidR="0030460F">
        <w:t>. This funding was originally</w:t>
      </w:r>
      <w:r>
        <w:t xml:space="preserve"> to ‘protect and expand’ music services following the demise of many services in the 1990s.</w:t>
      </w:r>
      <w:r w:rsidR="0030460F">
        <w:t xml:space="preserve"> Subsequently, aspirations were expressed that over time, every child should be able to learn a musical instru</w:t>
      </w:r>
      <w:r w:rsidR="00A2462C">
        <w:t xml:space="preserve">ment, play in an ensemble and </w:t>
      </w:r>
      <w:r w:rsidR="0030460F">
        <w:t>sing</w:t>
      </w:r>
      <w:r w:rsidR="0030460F">
        <w:rPr>
          <w:rStyle w:val="FootnoteReference"/>
        </w:rPr>
        <w:footnoteReference w:id="2"/>
      </w:r>
      <w:r w:rsidR="0030460F">
        <w:t xml:space="preserve">. </w:t>
      </w:r>
    </w:p>
    <w:p w:rsidR="0030460F" w:rsidRDefault="0030460F" w:rsidP="00B92167">
      <w:r>
        <w:t>£40m capital funding was made available for the purchase of musical instrument</w:t>
      </w:r>
      <w:r w:rsidR="002B2F50">
        <w:t>s and between 2008 and 2011</w:t>
      </w:r>
      <w:r w:rsidR="00BB0F9B">
        <w:t>,</w:t>
      </w:r>
      <w:r w:rsidR="00D06329">
        <w:t xml:space="preserve"> £30</w:t>
      </w:r>
      <w:r>
        <w:t xml:space="preserve">0m was allocated to </w:t>
      </w:r>
      <w:r w:rsidR="0026390F">
        <w:t>music services</w:t>
      </w:r>
      <w:r w:rsidR="00664CD3">
        <w:t xml:space="preserve">, £69m of which was </w:t>
      </w:r>
      <w:r w:rsidR="00B05A6D">
        <w:t>specifically targeted towards meeting</w:t>
      </w:r>
      <w:r w:rsidR="00D06329">
        <w:t xml:space="preserve"> the aspiration for every child to learn an instrument</w:t>
      </w:r>
      <w:r w:rsidR="00D917FA">
        <w:rPr>
          <w:rStyle w:val="FootnoteReference"/>
        </w:rPr>
        <w:footnoteReference w:id="3"/>
      </w:r>
      <w:r w:rsidR="00D917FA">
        <w:t>. I</w:t>
      </w:r>
      <w:r w:rsidR="00D06329">
        <w:t>n addition,</w:t>
      </w:r>
      <w:r>
        <w:t xml:space="preserve"> schools </w:t>
      </w:r>
      <w:r w:rsidR="00D06329">
        <w:t xml:space="preserve">had their </w:t>
      </w:r>
      <w:r>
        <w:t xml:space="preserve">own funds for delivering music education within their </w:t>
      </w:r>
      <w:r w:rsidR="00D301E4">
        <w:t>school</w:t>
      </w:r>
      <w:r>
        <w:t>.</w:t>
      </w:r>
    </w:p>
    <w:p w:rsidR="00EE07C1" w:rsidRDefault="0030460F" w:rsidP="00B92167">
      <w:r>
        <w:t>Following the economic downturn, £200m</w:t>
      </w:r>
      <w:r w:rsidR="009722DD">
        <w:rPr>
          <w:rStyle w:val="FootnoteReference"/>
        </w:rPr>
        <w:footnoteReference w:id="4"/>
      </w:r>
      <w:r>
        <w:t xml:space="preserve"> was protected for music education in accordance with the National Plan for Music Education for the period 2012 to 2015.</w:t>
      </w:r>
      <w:r w:rsidR="00EE07C1">
        <w:t xml:space="preserve"> ACE is collecting data each October relating to the previous academic year. Further information regarding Music Education Hubs is available on the </w:t>
      </w:r>
      <w:hyperlink r:id="rId9" w:history="1">
        <w:r w:rsidR="00EE07C1" w:rsidRPr="00EE07C1">
          <w:rPr>
            <w:rStyle w:val="Hyperlink"/>
          </w:rPr>
          <w:t>ACE website.</w:t>
        </w:r>
      </w:hyperlink>
    </w:p>
    <w:p w:rsidR="00EE07C1" w:rsidRPr="00156C06" w:rsidRDefault="00EE07C1" w:rsidP="00B92167">
      <w:pPr>
        <w:rPr>
          <w:sz w:val="24"/>
          <w:szCs w:val="24"/>
        </w:rPr>
      </w:pPr>
      <w:r w:rsidRPr="00156C06">
        <w:rPr>
          <w:b/>
          <w:sz w:val="24"/>
          <w:szCs w:val="24"/>
          <w:u w:val="single"/>
        </w:rPr>
        <w:t>Methodology</w:t>
      </w:r>
    </w:p>
    <w:p w:rsidR="00383B39" w:rsidRDefault="00383B39" w:rsidP="00B92167">
      <w:r>
        <w:t>T</w:t>
      </w:r>
      <w:r w:rsidR="00EE07C1">
        <w:t>he current research</w:t>
      </w:r>
      <w:r>
        <w:t xml:space="preserve"> consists of two elements:</w:t>
      </w:r>
    </w:p>
    <w:p w:rsidR="00383B39" w:rsidRDefault="00A2462C" w:rsidP="00383B39">
      <w:pPr>
        <w:pStyle w:val="ListParagraph"/>
        <w:numPr>
          <w:ilvl w:val="0"/>
          <w:numId w:val="7"/>
        </w:numPr>
      </w:pPr>
      <w:r>
        <w:t xml:space="preserve">The NFER report </w:t>
      </w:r>
      <w:r w:rsidR="00383B39" w:rsidRPr="00A2462C">
        <w:rPr>
          <w:i/>
        </w:rPr>
        <w:t>Key Data on Music Education Hubs 2013</w:t>
      </w:r>
      <w:r>
        <w:rPr>
          <w:rStyle w:val="FootnoteReference"/>
          <w:i/>
        </w:rPr>
        <w:footnoteReference w:id="5"/>
      </w:r>
      <w:r w:rsidR="00383B39">
        <w:t xml:space="preserve"> was compa</w:t>
      </w:r>
      <w:r w:rsidR="00EC26BD">
        <w:t>red with</w:t>
      </w:r>
      <w:r w:rsidR="00383B39">
        <w:t xml:space="preserve"> data in the </w:t>
      </w:r>
      <w:r>
        <w:rPr>
          <w:i/>
        </w:rPr>
        <w:t xml:space="preserve">Music Education Grant </w:t>
      </w:r>
      <w:r w:rsidR="00AD303E">
        <w:rPr>
          <w:i/>
        </w:rPr>
        <w:t>2011/</w:t>
      </w:r>
      <w:r w:rsidR="00383B39" w:rsidRPr="00A2462C">
        <w:rPr>
          <w:i/>
        </w:rPr>
        <w:t xml:space="preserve">2012: </w:t>
      </w:r>
      <w:r w:rsidR="00AD303E">
        <w:rPr>
          <w:i/>
        </w:rPr>
        <w:t>Report</w:t>
      </w:r>
      <w:r>
        <w:rPr>
          <w:rStyle w:val="FootnoteReference"/>
          <w:i/>
        </w:rPr>
        <w:footnoteReference w:id="6"/>
      </w:r>
      <w:r w:rsidR="00383B39" w:rsidRPr="00A2462C">
        <w:rPr>
          <w:i/>
        </w:rPr>
        <w:t xml:space="preserve"> </w:t>
      </w:r>
      <w:r w:rsidR="00383B39">
        <w:t xml:space="preserve">based on Local Authority data returns </w:t>
      </w:r>
      <w:r w:rsidR="00EC26BD">
        <w:t xml:space="preserve">in </w:t>
      </w:r>
      <w:r w:rsidR="00383B39">
        <w:t>May 2012</w:t>
      </w:r>
      <w:r w:rsidR="00F862CA">
        <w:t>, updated in October 2012,</w:t>
      </w:r>
      <w:r w:rsidR="00383B39">
        <w:t xml:space="preserve"> to </w:t>
      </w:r>
      <w:r w:rsidR="005368E1">
        <w:t>examine</w:t>
      </w:r>
      <w:r w:rsidR="00383B39">
        <w:t xml:space="preserve"> trends over the past 3 years.</w:t>
      </w:r>
    </w:p>
    <w:p w:rsidR="00383B39" w:rsidRDefault="00383B39" w:rsidP="00383B39">
      <w:pPr>
        <w:pStyle w:val="ListParagraph"/>
      </w:pPr>
    </w:p>
    <w:p w:rsidR="00EE07C1" w:rsidRDefault="00383B39" w:rsidP="00383B39">
      <w:pPr>
        <w:pStyle w:val="ListParagraph"/>
        <w:numPr>
          <w:ilvl w:val="0"/>
          <w:numId w:val="7"/>
        </w:numPr>
      </w:pPr>
      <w:r>
        <w:t>A</w:t>
      </w:r>
      <w:r w:rsidR="00EE07C1">
        <w:t xml:space="preserve">ll heads of music services were contacted </w:t>
      </w:r>
      <w:r>
        <w:t xml:space="preserve">by email </w:t>
      </w:r>
      <w:r w:rsidR="00EE07C1">
        <w:t>a</w:t>
      </w:r>
      <w:r w:rsidR="00171AA1">
        <w:t xml:space="preserve">nd asked to a) complete a </w:t>
      </w:r>
      <w:r w:rsidR="00EE07C1">
        <w:t xml:space="preserve">questionnaire and b) send any data </w:t>
      </w:r>
      <w:r w:rsidR="00EC26BD">
        <w:t>that were</w:t>
      </w:r>
      <w:r w:rsidR="00EE07C1">
        <w:t xml:space="preserve"> easily available</w:t>
      </w:r>
      <w:r w:rsidR="00AD447E">
        <w:t xml:space="preserve"> for the 2012/20</w:t>
      </w:r>
      <w:r w:rsidR="00433629">
        <w:t>13 academic year.</w:t>
      </w:r>
    </w:p>
    <w:p w:rsidR="00383B39" w:rsidRDefault="00383B39" w:rsidP="00383B39">
      <w:pPr>
        <w:pStyle w:val="ListParagraph"/>
      </w:pPr>
    </w:p>
    <w:p w:rsidR="00D62ADA" w:rsidRPr="00D62ADA" w:rsidRDefault="00EC26BD" w:rsidP="00433629">
      <w:pPr>
        <w:pStyle w:val="ListParagraph"/>
        <w:numPr>
          <w:ilvl w:val="0"/>
          <w:numId w:val="12"/>
        </w:numPr>
      </w:pPr>
      <w:r>
        <w:t>The</w:t>
      </w:r>
      <w:r w:rsidR="00D62ADA" w:rsidRPr="00D62ADA">
        <w:t xml:space="preserve"> questionnaire asked respondents to answer yes/no/don’t know to the following:</w:t>
      </w:r>
    </w:p>
    <w:p w:rsidR="00D62ADA" w:rsidRPr="00D62ADA" w:rsidRDefault="00D62ADA" w:rsidP="00D62ADA">
      <w:pPr>
        <w:pStyle w:val="ListParagraph"/>
        <w:numPr>
          <w:ilvl w:val="0"/>
          <w:numId w:val="1"/>
        </w:numPr>
        <w:rPr>
          <w:rFonts w:cs="Arial"/>
        </w:rPr>
      </w:pPr>
      <w:r w:rsidRPr="00D62ADA">
        <w:rPr>
          <w:rFonts w:cs="Arial"/>
        </w:rPr>
        <w:t>Following First Access programmes, are you able to provide available and affordable clear progression routes for all who wish to continue?</w:t>
      </w:r>
    </w:p>
    <w:p w:rsidR="00D62ADA" w:rsidRPr="00D62ADA" w:rsidRDefault="00D62ADA" w:rsidP="00D62ADA">
      <w:pPr>
        <w:pStyle w:val="ListParagraph"/>
        <w:numPr>
          <w:ilvl w:val="0"/>
          <w:numId w:val="1"/>
        </w:numPr>
        <w:rPr>
          <w:rFonts w:cs="Arial"/>
        </w:rPr>
      </w:pPr>
      <w:r w:rsidRPr="00D62ADA">
        <w:rPr>
          <w:rFonts w:cs="Arial"/>
        </w:rPr>
        <w:lastRenderedPageBreak/>
        <w:t>For all existing young people who learn through your music service and who wish to continue, are you able to provide available and affordable clear progression routes?</w:t>
      </w:r>
    </w:p>
    <w:p w:rsidR="00D62ADA" w:rsidRPr="00D62ADA" w:rsidRDefault="00664CD3" w:rsidP="00856A9B">
      <w:pPr>
        <w:pStyle w:val="NoSpacing"/>
      </w:pPr>
      <w:r>
        <w:t>Respondents were asked to</w:t>
      </w:r>
      <w:r w:rsidR="00D62ADA" w:rsidRPr="00D62ADA">
        <w:t xml:space="preserve"> Agree Strongly/A</w:t>
      </w:r>
      <w:r>
        <w:t>gree/Disagree/Disagree Strongly or answer Don’t K</w:t>
      </w:r>
      <w:r w:rsidR="00D62ADA" w:rsidRPr="00D62ADA">
        <w:t>now to the following</w:t>
      </w:r>
      <w:r w:rsidR="00EC26BD">
        <w:t xml:space="preserve"> statements</w:t>
      </w:r>
      <w:r w:rsidR="00D62ADA" w:rsidRPr="00D62ADA">
        <w:t>:</w:t>
      </w:r>
    </w:p>
    <w:p w:rsidR="00D62ADA" w:rsidRPr="00D62ADA" w:rsidRDefault="00D62ADA" w:rsidP="00D62ADA">
      <w:pPr>
        <w:pStyle w:val="ListParagraph"/>
        <w:numPr>
          <w:ilvl w:val="0"/>
          <w:numId w:val="2"/>
        </w:numPr>
        <w:rPr>
          <w:rFonts w:cs="Arial"/>
        </w:rPr>
      </w:pPr>
      <w:r w:rsidRPr="00D62ADA">
        <w:rPr>
          <w:rFonts w:cs="Arial"/>
        </w:rPr>
        <w:t>Since September 2012, the terms and conditions under which staff are engaged have improved</w:t>
      </w:r>
      <w:r w:rsidR="00EC26BD">
        <w:rPr>
          <w:rFonts w:cs="Arial"/>
        </w:rPr>
        <w:t>;</w:t>
      </w:r>
    </w:p>
    <w:p w:rsidR="00D62ADA" w:rsidRPr="00D62ADA" w:rsidRDefault="00D62ADA" w:rsidP="00D62ADA">
      <w:pPr>
        <w:pStyle w:val="ListParagraph"/>
        <w:numPr>
          <w:ilvl w:val="0"/>
          <w:numId w:val="2"/>
        </w:numPr>
        <w:rPr>
          <w:rFonts w:cs="Arial"/>
        </w:rPr>
      </w:pPr>
      <w:r w:rsidRPr="00D62ADA">
        <w:rPr>
          <w:rFonts w:cs="Arial"/>
        </w:rPr>
        <w:t>Since September 2012, our ability to q</w:t>
      </w:r>
      <w:r w:rsidR="00EC26BD">
        <w:rPr>
          <w:rFonts w:cs="Arial"/>
        </w:rPr>
        <w:t>uality assure work has improved;</w:t>
      </w:r>
    </w:p>
    <w:p w:rsidR="00D62ADA" w:rsidRPr="00D62ADA" w:rsidRDefault="00D62ADA" w:rsidP="00D62ADA">
      <w:pPr>
        <w:pStyle w:val="ListParagraph"/>
        <w:numPr>
          <w:ilvl w:val="0"/>
          <w:numId w:val="2"/>
        </w:numPr>
        <w:rPr>
          <w:rFonts w:cs="Arial"/>
        </w:rPr>
      </w:pPr>
      <w:r w:rsidRPr="00D62ADA">
        <w:rPr>
          <w:rFonts w:cs="Arial"/>
        </w:rPr>
        <w:t>Since September 2012, progression routes thr</w:t>
      </w:r>
      <w:r w:rsidR="00EC26BD">
        <w:rPr>
          <w:rFonts w:cs="Arial"/>
        </w:rPr>
        <w:t>ough to ensembles have improved;</w:t>
      </w:r>
    </w:p>
    <w:p w:rsidR="00D62ADA" w:rsidRPr="00D62ADA" w:rsidRDefault="00D62ADA" w:rsidP="00D62ADA">
      <w:pPr>
        <w:pStyle w:val="ListParagraph"/>
        <w:numPr>
          <w:ilvl w:val="0"/>
          <w:numId w:val="2"/>
        </w:numPr>
        <w:rPr>
          <w:rFonts w:cs="Arial"/>
        </w:rPr>
      </w:pPr>
      <w:r w:rsidRPr="00D62ADA">
        <w:rPr>
          <w:rFonts w:cs="Arial"/>
        </w:rPr>
        <w:t>Since September 2012, overall, opportunities for young people to engage in music have improved</w:t>
      </w:r>
      <w:r w:rsidR="00EC26BD">
        <w:rPr>
          <w:rFonts w:cs="Arial"/>
        </w:rPr>
        <w:t>.</w:t>
      </w:r>
    </w:p>
    <w:p w:rsidR="0040642A" w:rsidRDefault="008F6881" w:rsidP="00856A9B">
      <w:pPr>
        <w:pStyle w:val="NoSpacing"/>
      </w:pPr>
      <w:r>
        <w:t>Respondents</w:t>
      </w:r>
      <w:r w:rsidR="00D62ADA" w:rsidRPr="00D62ADA">
        <w:t xml:space="preserve"> were also invited to add any further comments.</w:t>
      </w:r>
    </w:p>
    <w:p w:rsidR="00383B39" w:rsidRPr="00433629" w:rsidRDefault="006D59BC" w:rsidP="00433629">
      <w:pPr>
        <w:pStyle w:val="ListParagraph"/>
        <w:numPr>
          <w:ilvl w:val="0"/>
          <w:numId w:val="12"/>
        </w:numPr>
        <w:rPr>
          <w:rFonts w:cs="Arial"/>
        </w:rPr>
      </w:pPr>
      <w:r>
        <w:rPr>
          <w:rFonts w:cs="Arial"/>
        </w:rPr>
        <w:t>R</w:t>
      </w:r>
      <w:r w:rsidR="00433629">
        <w:rPr>
          <w:rFonts w:cs="Arial"/>
        </w:rPr>
        <w:t xml:space="preserve">eturns were requested </w:t>
      </w:r>
      <w:r w:rsidR="00EC26BD">
        <w:t>providing</w:t>
      </w:r>
      <w:r w:rsidR="00433629">
        <w:t xml:space="preserve"> data t</w:t>
      </w:r>
      <w:r w:rsidR="00EC26BD">
        <w:t xml:space="preserve">hat had been </w:t>
      </w:r>
      <w:r w:rsidR="00433629">
        <w:t>submitted previously as part of annual data collection: access, progression, finance etc.</w:t>
      </w:r>
    </w:p>
    <w:p w:rsidR="008F6881" w:rsidRDefault="008F6881" w:rsidP="00B92167">
      <w:pPr>
        <w:rPr>
          <w:rFonts w:cs="Arial"/>
          <w:b/>
          <w:sz w:val="24"/>
          <w:szCs w:val="24"/>
          <w:u w:val="single"/>
        </w:rPr>
      </w:pPr>
      <w:r w:rsidRPr="00156C06">
        <w:rPr>
          <w:rFonts w:cs="Arial"/>
          <w:b/>
          <w:sz w:val="24"/>
          <w:szCs w:val="24"/>
          <w:u w:val="single"/>
        </w:rPr>
        <w:t>Results</w:t>
      </w:r>
    </w:p>
    <w:p w:rsidR="007E2472" w:rsidRPr="007E2472" w:rsidRDefault="007E2472" w:rsidP="00B92167">
      <w:pPr>
        <w:rPr>
          <w:rFonts w:cs="Arial"/>
          <w:b/>
          <w:sz w:val="24"/>
          <w:szCs w:val="24"/>
          <w:u w:val="single"/>
        </w:rPr>
      </w:pPr>
      <w:r w:rsidRPr="007E2472">
        <w:rPr>
          <w:rFonts w:cs="Arial"/>
          <w:b/>
          <w:sz w:val="24"/>
          <w:szCs w:val="24"/>
          <w:u w:val="single"/>
        </w:rPr>
        <w:t>Data Trends</w:t>
      </w:r>
    </w:p>
    <w:p w:rsidR="00F133FC" w:rsidRDefault="007E2472" w:rsidP="00856A9B">
      <w:pPr>
        <w:pStyle w:val="NoSpacing"/>
      </w:pPr>
      <w:r w:rsidRPr="007E2472">
        <w:t>The tables below enable c</w:t>
      </w:r>
      <w:r w:rsidR="00F133FC" w:rsidRPr="007E2472">
        <w:t>omparison</w:t>
      </w:r>
      <w:r w:rsidRPr="007E2472">
        <w:t>s to be made</w:t>
      </w:r>
      <w:r w:rsidR="00F133FC" w:rsidRPr="007E2472">
        <w:t xml:space="preserve"> between</w:t>
      </w:r>
      <w:r w:rsidR="00845EAB" w:rsidRPr="007E2472">
        <w:t xml:space="preserve"> the NFER report on </w:t>
      </w:r>
      <w:r w:rsidR="00F133FC" w:rsidRPr="007E2472">
        <w:rPr>
          <w:i/>
        </w:rPr>
        <w:t>Music Education Hubs 2013</w:t>
      </w:r>
      <w:r w:rsidR="00F133FC" w:rsidRPr="007E2472">
        <w:t xml:space="preserve"> and the data in the </w:t>
      </w:r>
      <w:r w:rsidR="00F133FC" w:rsidRPr="007E2472">
        <w:rPr>
          <w:i/>
        </w:rPr>
        <w:t xml:space="preserve">Music Education Grant 2011/2012: Report </w:t>
      </w:r>
      <w:r w:rsidR="00F133FC" w:rsidRPr="007E2472">
        <w:t>based on Local Authority data returns May 2012</w:t>
      </w:r>
      <w:r w:rsidR="00845EAB" w:rsidRPr="007E2472">
        <w:t>, updated in October 2012</w:t>
      </w:r>
      <w:r w:rsidR="00F133FC" w:rsidRPr="007E2472">
        <w:t xml:space="preserve">. </w:t>
      </w:r>
      <w:r w:rsidR="00EC26BD" w:rsidRPr="00EC26BD">
        <w:t>T</w:t>
      </w:r>
      <w:r w:rsidR="00F133FC" w:rsidRPr="00EC26BD">
        <w:t xml:space="preserve">he questions asked </w:t>
      </w:r>
      <w:r w:rsidR="008A0271">
        <w:t xml:space="preserve">for each report </w:t>
      </w:r>
      <w:r w:rsidR="00EC26BD" w:rsidRPr="00EC26BD">
        <w:t>were not exactly the same</w:t>
      </w:r>
      <w:r w:rsidR="008A0271">
        <w:t>. D</w:t>
      </w:r>
      <w:r w:rsidR="00EC26BD" w:rsidRPr="00EC26BD">
        <w:t xml:space="preserve">irect comparisons are </w:t>
      </w:r>
      <w:r w:rsidR="008A0271">
        <w:t xml:space="preserve">therefore </w:t>
      </w:r>
      <w:r w:rsidR="00015196">
        <w:t>not always possible</w:t>
      </w:r>
      <w:r>
        <w:t xml:space="preserve"> and caution needs to be exercised when drawing conclusions</w:t>
      </w:r>
      <w:r w:rsidR="00675435" w:rsidRPr="00EC26BD">
        <w:t xml:space="preserve">. </w:t>
      </w:r>
      <w:r w:rsidR="008A0271">
        <w:t xml:space="preserve">(See </w:t>
      </w:r>
      <w:r w:rsidR="00EC26BD">
        <w:t>Tables 1 to 5 below</w:t>
      </w:r>
      <w:r w:rsidR="008A0271">
        <w:t>)</w:t>
      </w:r>
      <w:r w:rsidR="00D06248">
        <w:t>.</w:t>
      </w:r>
    </w:p>
    <w:p w:rsidR="00856A9B" w:rsidRDefault="00856A9B" w:rsidP="00EC26BD">
      <w:pPr>
        <w:rPr>
          <w:b/>
          <w:u w:val="single"/>
        </w:rPr>
      </w:pPr>
    </w:p>
    <w:p w:rsidR="00015196" w:rsidRPr="00015196" w:rsidRDefault="00015196" w:rsidP="00EC26BD">
      <w:pPr>
        <w:rPr>
          <w:b/>
          <w:u w:val="single"/>
        </w:rPr>
      </w:pPr>
      <w:r>
        <w:rPr>
          <w:b/>
          <w:u w:val="single"/>
        </w:rPr>
        <w:t>Schools</w:t>
      </w:r>
    </w:p>
    <w:p w:rsidR="00015196" w:rsidRDefault="007E2472" w:rsidP="00856A9B">
      <w:pPr>
        <w:pStyle w:val="NoSpacing"/>
      </w:pPr>
      <w:r>
        <w:t>The Music Education Grant survey</w:t>
      </w:r>
      <w:r w:rsidR="00980173">
        <w:t xml:space="preserve"> only </w:t>
      </w:r>
      <w:r w:rsidR="00015196">
        <w:t xml:space="preserve">counted schools with Key Stage 2 populations </w:t>
      </w:r>
      <w:r w:rsidR="00E14B9D">
        <w:t xml:space="preserve">in each Local Authority area </w:t>
      </w:r>
      <w:r w:rsidR="00015196">
        <w:t xml:space="preserve">and looked at the percentage that offered </w:t>
      </w:r>
      <w:r w:rsidR="00015196" w:rsidRPr="00980173">
        <w:rPr>
          <w:i/>
        </w:rPr>
        <w:t>first access programmes</w:t>
      </w:r>
      <w:r w:rsidR="00980173">
        <w:t>, originally known as Wider Opportunities or Key Stage Two Instrumental and Vocal programmes</w:t>
      </w:r>
      <w:r w:rsidR="008A0271">
        <w:t>. T</w:t>
      </w:r>
      <w:r w:rsidR="00015196">
        <w:t>he NFER surve</w:t>
      </w:r>
      <w:r w:rsidR="001960F4">
        <w:t xml:space="preserve">y </w:t>
      </w:r>
      <w:r w:rsidR="00980173">
        <w:t>included</w:t>
      </w:r>
      <w:r w:rsidR="001960F4">
        <w:t xml:space="preserve"> all schools </w:t>
      </w:r>
      <w:r w:rsidR="00E14B9D">
        <w:t xml:space="preserve">in each hub area </w:t>
      </w:r>
      <w:r w:rsidR="001960F4">
        <w:t>and repor</w:t>
      </w:r>
      <w:r w:rsidR="00015196">
        <w:t xml:space="preserve">ted all those in which </w:t>
      </w:r>
      <w:r w:rsidR="00015196" w:rsidRPr="00980173">
        <w:rPr>
          <w:i/>
        </w:rPr>
        <w:t>one or more</w:t>
      </w:r>
      <w:r w:rsidR="00015196">
        <w:t xml:space="preserve"> of the core roles were offered.</w:t>
      </w:r>
    </w:p>
    <w:p w:rsidR="00856A9B" w:rsidRDefault="00856A9B" w:rsidP="00B1181E">
      <w:pPr>
        <w:pStyle w:val="NoSpacing"/>
        <w:rPr>
          <w:b/>
        </w:rPr>
      </w:pPr>
    </w:p>
    <w:p w:rsidR="0090664F" w:rsidRDefault="0090664F" w:rsidP="00B1181E">
      <w:pPr>
        <w:pStyle w:val="NoSpacing"/>
        <w:rPr>
          <w:b/>
        </w:rPr>
      </w:pPr>
      <w:r w:rsidRPr="00B1181E">
        <w:rPr>
          <w:b/>
        </w:rPr>
        <w:t>Table 1 Schools</w:t>
      </w:r>
    </w:p>
    <w:p w:rsidR="00EC26BD" w:rsidRPr="00B1181E" w:rsidRDefault="00EC26BD" w:rsidP="00B1181E">
      <w:pPr>
        <w:pStyle w:val="NoSpacing"/>
        <w:rPr>
          <w:b/>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203"/>
        <w:gridCol w:w="1207"/>
        <w:gridCol w:w="284"/>
        <w:gridCol w:w="3685"/>
        <w:gridCol w:w="1276"/>
      </w:tblGrid>
      <w:tr w:rsidR="00EC26BD" w:rsidRPr="00F324F1" w:rsidTr="00725229">
        <w:trPr>
          <w:trHeight w:val="296"/>
        </w:trPr>
        <w:tc>
          <w:tcPr>
            <w:tcW w:w="4693" w:type="dxa"/>
            <w:gridSpan w:val="3"/>
            <w:shd w:val="clear" w:color="auto" w:fill="auto"/>
          </w:tcPr>
          <w:p w:rsidR="00EC26BD" w:rsidRPr="00EC26BD" w:rsidRDefault="00EC26BD" w:rsidP="00EC26BD">
            <w:pPr>
              <w:tabs>
                <w:tab w:val="right" w:pos="2704"/>
              </w:tabs>
              <w:spacing w:after="0" w:line="240" w:lineRule="auto"/>
              <w:jc w:val="center"/>
              <w:rPr>
                <w:rFonts w:eastAsia="Times New Roman" w:cs="Times New Roman"/>
                <w:b/>
                <w:color w:val="000000"/>
                <w:sz w:val="24"/>
                <w:szCs w:val="24"/>
                <w:lang w:eastAsia="en-GB"/>
              </w:rPr>
            </w:pPr>
            <w:r w:rsidRPr="00EC26BD">
              <w:rPr>
                <w:rFonts w:eastAsia="Times New Roman" w:cs="Times New Roman"/>
                <w:b/>
                <w:color w:val="000000"/>
                <w:sz w:val="24"/>
                <w:szCs w:val="24"/>
                <w:lang w:eastAsia="en-GB"/>
              </w:rPr>
              <w:t>Music Education Grant Survey</w:t>
            </w:r>
          </w:p>
        </w:tc>
        <w:tc>
          <w:tcPr>
            <w:tcW w:w="284" w:type="dxa"/>
          </w:tcPr>
          <w:p w:rsidR="00EC26BD" w:rsidRPr="00A11D34" w:rsidRDefault="00EC26BD" w:rsidP="004E13DB">
            <w:pPr>
              <w:tabs>
                <w:tab w:val="right" w:pos="2704"/>
              </w:tabs>
              <w:spacing w:after="0" w:line="240" w:lineRule="auto"/>
              <w:rPr>
                <w:rFonts w:eastAsia="Times New Roman" w:cs="Times New Roman"/>
                <w:b/>
                <w:color w:val="000000"/>
                <w:sz w:val="20"/>
                <w:szCs w:val="20"/>
                <w:lang w:eastAsia="en-GB"/>
              </w:rPr>
            </w:pPr>
          </w:p>
        </w:tc>
        <w:tc>
          <w:tcPr>
            <w:tcW w:w="4961" w:type="dxa"/>
            <w:gridSpan w:val="2"/>
          </w:tcPr>
          <w:p w:rsidR="00EC26BD" w:rsidRPr="00A11D34" w:rsidRDefault="00EC26BD" w:rsidP="00EC26BD">
            <w:pPr>
              <w:tabs>
                <w:tab w:val="right" w:pos="2704"/>
              </w:tabs>
              <w:spacing w:after="0" w:line="240" w:lineRule="auto"/>
              <w:jc w:val="center"/>
              <w:rPr>
                <w:rFonts w:eastAsia="Times New Roman" w:cs="Times New Roman"/>
                <w:b/>
                <w:color w:val="000000"/>
                <w:sz w:val="20"/>
                <w:szCs w:val="20"/>
                <w:lang w:eastAsia="en-GB"/>
              </w:rPr>
            </w:pPr>
            <w:r w:rsidRPr="00EC26BD">
              <w:rPr>
                <w:rFonts w:eastAsia="Times New Roman" w:cs="Times New Roman"/>
                <w:b/>
                <w:color w:val="000000"/>
                <w:sz w:val="24"/>
                <w:szCs w:val="24"/>
                <w:lang w:eastAsia="en-GB"/>
              </w:rPr>
              <w:t>Key Data on Music Education Hubs</w:t>
            </w:r>
          </w:p>
        </w:tc>
      </w:tr>
      <w:tr w:rsidR="00EC26BD" w:rsidRPr="00F324F1" w:rsidTr="00732DDB">
        <w:trPr>
          <w:trHeight w:val="262"/>
        </w:trPr>
        <w:tc>
          <w:tcPr>
            <w:tcW w:w="2283" w:type="dxa"/>
            <w:shd w:val="clear" w:color="auto" w:fill="auto"/>
          </w:tcPr>
          <w:p w:rsidR="00EC26BD" w:rsidRPr="00F133FC" w:rsidRDefault="00EC26BD" w:rsidP="00F133FC">
            <w:pPr>
              <w:tabs>
                <w:tab w:val="right" w:pos="2704"/>
              </w:tabs>
              <w:spacing w:after="0" w:line="240" w:lineRule="auto"/>
              <w:rPr>
                <w:rFonts w:eastAsia="Times New Roman" w:cs="Times New Roman"/>
                <w:b/>
                <w:color w:val="000000"/>
                <w:sz w:val="20"/>
                <w:szCs w:val="20"/>
                <w:lang w:eastAsia="en-GB"/>
              </w:rPr>
            </w:pPr>
          </w:p>
        </w:tc>
        <w:tc>
          <w:tcPr>
            <w:tcW w:w="1203" w:type="dxa"/>
          </w:tcPr>
          <w:p w:rsidR="00EC26BD" w:rsidRPr="00A11D34" w:rsidRDefault="00EC26BD"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2010/2011</w:t>
            </w:r>
          </w:p>
        </w:tc>
        <w:tc>
          <w:tcPr>
            <w:tcW w:w="1207" w:type="dxa"/>
          </w:tcPr>
          <w:p w:rsidR="00EC26BD" w:rsidRPr="00A11D34" w:rsidRDefault="00EC26BD"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2011/2012</w:t>
            </w:r>
          </w:p>
        </w:tc>
        <w:tc>
          <w:tcPr>
            <w:tcW w:w="284" w:type="dxa"/>
          </w:tcPr>
          <w:p w:rsidR="00EC26BD" w:rsidRPr="00A11D34" w:rsidRDefault="00EC26BD" w:rsidP="004E13DB">
            <w:pPr>
              <w:tabs>
                <w:tab w:val="right" w:pos="2704"/>
              </w:tabs>
              <w:spacing w:after="0" w:line="240" w:lineRule="auto"/>
              <w:rPr>
                <w:rFonts w:eastAsia="Times New Roman" w:cs="Times New Roman"/>
                <w:b/>
                <w:color w:val="000000"/>
                <w:sz w:val="20"/>
                <w:szCs w:val="20"/>
                <w:lang w:eastAsia="en-GB"/>
              </w:rPr>
            </w:pPr>
          </w:p>
        </w:tc>
        <w:tc>
          <w:tcPr>
            <w:tcW w:w="3685" w:type="dxa"/>
          </w:tcPr>
          <w:p w:rsidR="00EC26BD" w:rsidRPr="00A11D34" w:rsidRDefault="00EC26BD" w:rsidP="004E13DB">
            <w:pPr>
              <w:tabs>
                <w:tab w:val="right" w:pos="2704"/>
              </w:tabs>
              <w:spacing w:after="0" w:line="240" w:lineRule="auto"/>
              <w:rPr>
                <w:rFonts w:eastAsia="Times New Roman" w:cs="Times New Roman"/>
                <w:b/>
                <w:color w:val="000000"/>
                <w:sz w:val="20"/>
                <w:szCs w:val="20"/>
                <w:lang w:eastAsia="en-GB"/>
              </w:rPr>
            </w:pPr>
          </w:p>
        </w:tc>
        <w:tc>
          <w:tcPr>
            <w:tcW w:w="1276" w:type="dxa"/>
          </w:tcPr>
          <w:p w:rsidR="00EC26BD" w:rsidRPr="00A11D34" w:rsidRDefault="00EC26BD"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2012/2013</w:t>
            </w:r>
          </w:p>
        </w:tc>
      </w:tr>
      <w:tr w:rsidR="00EC26BD" w:rsidRPr="00F324F1" w:rsidTr="00EC26BD">
        <w:trPr>
          <w:trHeight w:val="600"/>
        </w:trPr>
        <w:tc>
          <w:tcPr>
            <w:tcW w:w="2283" w:type="dxa"/>
            <w:shd w:val="clear" w:color="auto" w:fill="auto"/>
          </w:tcPr>
          <w:p w:rsidR="00EC26BD" w:rsidRPr="00A11D34" w:rsidRDefault="00EC26BD" w:rsidP="004E13DB">
            <w:pPr>
              <w:spacing w:after="0" w:line="240" w:lineRule="auto"/>
              <w:rPr>
                <w:rFonts w:eastAsia="Times New Roman" w:cs="Times New Roman"/>
                <w:b/>
                <w:color w:val="000000"/>
                <w:sz w:val="20"/>
                <w:szCs w:val="20"/>
                <w:lang w:eastAsia="en-GB"/>
              </w:rPr>
            </w:pPr>
          </w:p>
        </w:tc>
        <w:tc>
          <w:tcPr>
            <w:tcW w:w="1203" w:type="dxa"/>
          </w:tcPr>
          <w:p w:rsidR="00EC26BD" w:rsidRPr="00A11D34" w:rsidRDefault="00EC26BD" w:rsidP="004E13DB">
            <w:pPr>
              <w:spacing w:after="0" w:line="240" w:lineRule="auto"/>
              <w:rPr>
                <w:rFonts w:eastAsia="Times New Roman" w:cs="Times New Roman"/>
                <w:color w:val="000000"/>
                <w:sz w:val="20"/>
                <w:szCs w:val="20"/>
                <w:lang w:eastAsia="en-GB"/>
              </w:rPr>
            </w:pPr>
          </w:p>
        </w:tc>
        <w:tc>
          <w:tcPr>
            <w:tcW w:w="1207" w:type="dxa"/>
          </w:tcPr>
          <w:p w:rsidR="00EC26BD" w:rsidRPr="00A11D34" w:rsidRDefault="00EC26BD" w:rsidP="004E13DB">
            <w:pPr>
              <w:spacing w:after="0" w:line="240" w:lineRule="auto"/>
              <w:rPr>
                <w:rFonts w:eastAsia="Times New Roman" w:cs="Times New Roman"/>
                <w:color w:val="000000"/>
                <w:sz w:val="20"/>
                <w:szCs w:val="20"/>
                <w:lang w:eastAsia="en-GB"/>
              </w:rPr>
            </w:pPr>
          </w:p>
        </w:tc>
        <w:tc>
          <w:tcPr>
            <w:tcW w:w="284" w:type="dxa"/>
          </w:tcPr>
          <w:p w:rsidR="00EC26BD" w:rsidRPr="00A11D34" w:rsidRDefault="00EC26BD" w:rsidP="004E13DB">
            <w:pPr>
              <w:spacing w:after="0" w:line="240" w:lineRule="auto"/>
              <w:rPr>
                <w:rFonts w:eastAsia="Times New Roman" w:cs="Times New Roman"/>
                <w:b/>
                <w:color w:val="000000"/>
                <w:sz w:val="20"/>
                <w:szCs w:val="20"/>
                <w:lang w:eastAsia="en-GB"/>
              </w:rPr>
            </w:pPr>
          </w:p>
        </w:tc>
        <w:tc>
          <w:tcPr>
            <w:tcW w:w="3685" w:type="dxa"/>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b/>
                <w:color w:val="000000"/>
                <w:sz w:val="20"/>
                <w:szCs w:val="20"/>
                <w:lang w:eastAsia="en-GB"/>
              </w:rPr>
              <w:t>KPI1</w:t>
            </w:r>
            <w:r w:rsidRPr="00A11D34">
              <w:rPr>
                <w:rFonts w:eastAsia="Times New Roman" w:cs="Times New Roman"/>
                <w:color w:val="000000"/>
                <w:sz w:val="20"/>
                <w:szCs w:val="20"/>
                <w:lang w:eastAsia="en-GB"/>
              </w:rPr>
              <w:t xml:space="preserve"> The number and percentage of state-funded schools engaged with their music hub on </w:t>
            </w:r>
            <w:r w:rsidRPr="00F133FC">
              <w:rPr>
                <w:rFonts w:eastAsia="Times New Roman" w:cs="Times New Roman"/>
                <w:b/>
                <w:i/>
                <w:color w:val="000000"/>
                <w:sz w:val="20"/>
                <w:szCs w:val="20"/>
                <w:u w:val="single"/>
                <w:lang w:eastAsia="en-GB"/>
              </w:rPr>
              <w:t>one or more core roles</w:t>
            </w:r>
          </w:p>
        </w:tc>
        <w:tc>
          <w:tcPr>
            <w:tcW w:w="1276" w:type="dxa"/>
          </w:tcPr>
          <w:p w:rsidR="00EC26BD" w:rsidRPr="00A11D34" w:rsidRDefault="00EC26BD" w:rsidP="004E13DB">
            <w:pPr>
              <w:spacing w:after="0" w:line="240" w:lineRule="auto"/>
              <w:rPr>
                <w:rFonts w:eastAsia="Times New Roman" w:cs="Times New Roman"/>
                <w:color w:val="000000"/>
                <w:sz w:val="20"/>
                <w:szCs w:val="20"/>
                <w:lang w:eastAsia="en-GB"/>
              </w:rPr>
            </w:pPr>
          </w:p>
        </w:tc>
      </w:tr>
      <w:tr w:rsidR="00EC26BD" w:rsidRPr="00F324F1" w:rsidTr="00EC26BD">
        <w:trPr>
          <w:trHeight w:val="203"/>
        </w:trPr>
        <w:tc>
          <w:tcPr>
            <w:tcW w:w="2283" w:type="dxa"/>
            <w:vMerge w:val="restart"/>
            <w:shd w:val="clear" w:color="auto" w:fill="auto"/>
            <w:hideMark/>
          </w:tcPr>
          <w:p w:rsidR="00EC26BD" w:rsidRPr="00A11D34" w:rsidRDefault="00EC26BD" w:rsidP="004E13D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S</w:t>
            </w:r>
            <w:r w:rsidRPr="00A11D34">
              <w:rPr>
                <w:rFonts w:eastAsia="Times New Roman" w:cs="Times New Roman"/>
                <w:color w:val="000000"/>
                <w:sz w:val="20"/>
                <w:szCs w:val="20"/>
                <w:lang w:eastAsia="en-GB"/>
              </w:rPr>
              <w:t xml:space="preserve">chools </w:t>
            </w:r>
            <w:r>
              <w:rPr>
                <w:rFonts w:eastAsia="Times New Roman" w:cs="Times New Roman"/>
                <w:color w:val="000000"/>
                <w:sz w:val="20"/>
                <w:szCs w:val="20"/>
                <w:lang w:eastAsia="en-GB"/>
              </w:rPr>
              <w:t xml:space="preserve">(total) </w:t>
            </w:r>
            <w:r w:rsidRPr="00A11D34">
              <w:rPr>
                <w:rFonts w:eastAsia="Times New Roman" w:cs="Times New Roman"/>
                <w:color w:val="000000"/>
                <w:sz w:val="20"/>
                <w:szCs w:val="20"/>
                <w:lang w:eastAsia="en-GB"/>
              </w:rPr>
              <w:t xml:space="preserve">with </w:t>
            </w:r>
            <w:r>
              <w:rPr>
                <w:rFonts w:eastAsia="Times New Roman" w:cs="Times New Roman"/>
                <w:b/>
                <w:i/>
                <w:color w:val="000000"/>
                <w:sz w:val="20"/>
                <w:szCs w:val="20"/>
                <w:u w:val="single"/>
                <w:lang w:eastAsia="en-GB"/>
              </w:rPr>
              <w:t>Key Stage 2</w:t>
            </w:r>
            <w:r w:rsidRPr="00F133FC">
              <w:rPr>
                <w:rFonts w:eastAsia="Times New Roman" w:cs="Times New Roman"/>
                <w:b/>
                <w:i/>
                <w:color w:val="000000"/>
                <w:sz w:val="20"/>
                <w:szCs w:val="20"/>
                <w:u w:val="single"/>
                <w:lang w:eastAsia="en-GB"/>
              </w:rPr>
              <w:t xml:space="preserve"> pupils</w:t>
            </w:r>
            <w:r>
              <w:rPr>
                <w:rFonts w:eastAsia="Times New Roman" w:cs="Times New Roman"/>
                <w:b/>
                <w:i/>
                <w:color w:val="000000"/>
                <w:sz w:val="20"/>
                <w:szCs w:val="20"/>
                <w:u w:val="single"/>
                <w:lang w:eastAsia="en-GB"/>
              </w:rPr>
              <w:t xml:space="preserve"> (KS2)</w:t>
            </w:r>
          </w:p>
        </w:tc>
        <w:tc>
          <w:tcPr>
            <w:tcW w:w="1203" w:type="dxa"/>
            <w:vMerge w:val="restart"/>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16036</w:t>
            </w:r>
          </w:p>
        </w:tc>
        <w:tc>
          <w:tcPr>
            <w:tcW w:w="1207" w:type="dxa"/>
            <w:vMerge w:val="restart"/>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15974</w:t>
            </w:r>
          </w:p>
        </w:tc>
        <w:tc>
          <w:tcPr>
            <w:tcW w:w="284" w:type="dxa"/>
            <w:vMerge w:val="restart"/>
          </w:tcPr>
          <w:p w:rsidR="00EC26BD" w:rsidRPr="00A11D34" w:rsidRDefault="00EC26BD" w:rsidP="004E13DB">
            <w:pPr>
              <w:spacing w:after="0" w:line="240" w:lineRule="auto"/>
              <w:rPr>
                <w:rFonts w:eastAsia="Times New Roman" w:cs="Times New Roman"/>
                <w:color w:val="000000"/>
                <w:sz w:val="20"/>
                <w:szCs w:val="20"/>
                <w:lang w:eastAsia="en-GB"/>
              </w:rPr>
            </w:pPr>
          </w:p>
        </w:tc>
        <w:tc>
          <w:tcPr>
            <w:tcW w:w="3685" w:type="dxa"/>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Primary</w:t>
            </w:r>
            <w:r>
              <w:rPr>
                <w:rFonts w:eastAsia="Times New Roman" w:cs="Times New Roman"/>
                <w:color w:val="000000"/>
                <w:sz w:val="20"/>
                <w:szCs w:val="20"/>
                <w:lang w:eastAsia="en-GB"/>
              </w:rPr>
              <w:t xml:space="preserve"> schools (total)</w:t>
            </w:r>
          </w:p>
        </w:tc>
        <w:tc>
          <w:tcPr>
            <w:tcW w:w="1276" w:type="dxa"/>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17289</w:t>
            </w:r>
          </w:p>
        </w:tc>
      </w:tr>
      <w:tr w:rsidR="00EC26BD" w:rsidRPr="00F324F1" w:rsidTr="00EC26BD">
        <w:trPr>
          <w:trHeight w:val="202"/>
        </w:trPr>
        <w:tc>
          <w:tcPr>
            <w:tcW w:w="2283" w:type="dxa"/>
            <w:vMerge/>
            <w:shd w:val="clear" w:color="auto" w:fill="auto"/>
          </w:tcPr>
          <w:p w:rsidR="00EC26BD" w:rsidRPr="00A11D34" w:rsidRDefault="00EC26BD" w:rsidP="004E13DB">
            <w:pPr>
              <w:spacing w:after="0" w:line="240" w:lineRule="auto"/>
              <w:rPr>
                <w:rFonts w:eastAsia="Times New Roman" w:cs="Times New Roman"/>
                <w:color w:val="000000"/>
                <w:sz w:val="20"/>
                <w:szCs w:val="20"/>
                <w:lang w:eastAsia="en-GB"/>
              </w:rPr>
            </w:pPr>
          </w:p>
        </w:tc>
        <w:tc>
          <w:tcPr>
            <w:tcW w:w="1203" w:type="dxa"/>
            <w:vMerge/>
          </w:tcPr>
          <w:p w:rsidR="00EC26BD" w:rsidRPr="00A11D34" w:rsidRDefault="00EC26BD" w:rsidP="004E13DB">
            <w:pPr>
              <w:spacing w:after="0" w:line="240" w:lineRule="auto"/>
              <w:rPr>
                <w:rFonts w:eastAsia="Times New Roman" w:cs="Times New Roman"/>
                <w:color w:val="000000"/>
                <w:sz w:val="20"/>
                <w:szCs w:val="20"/>
                <w:lang w:eastAsia="en-GB"/>
              </w:rPr>
            </w:pPr>
          </w:p>
        </w:tc>
        <w:tc>
          <w:tcPr>
            <w:tcW w:w="1207" w:type="dxa"/>
            <w:vMerge/>
          </w:tcPr>
          <w:p w:rsidR="00EC26BD" w:rsidRPr="00A11D34" w:rsidRDefault="00EC26BD" w:rsidP="004E13DB">
            <w:pPr>
              <w:spacing w:after="0" w:line="240" w:lineRule="auto"/>
              <w:rPr>
                <w:rFonts w:eastAsia="Times New Roman" w:cs="Times New Roman"/>
                <w:color w:val="000000"/>
                <w:sz w:val="20"/>
                <w:szCs w:val="20"/>
                <w:lang w:eastAsia="en-GB"/>
              </w:rPr>
            </w:pPr>
          </w:p>
        </w:tc>
        <w:tc>
          <w:tcPr>
            <w:tcW w:w="284" w:type="dxa"/>
            <w:vMerge/>
          </w:tcPr>
          <w:p w:rsidR="00EC26BD" w:rsidRPr="00A11D34" w:rsidRDefault="00EC26BD" w:rsidP="004E13DB">
            <w:pPr>
              <w:spacing w:after="0" w:line="240" w:lineRule="auto"/>
              <w:rPr>
                <w:rFonts w:eastAsia="Times New Roman" w:cs="Times New Roman"/>
                <w:color w:val="000000"/>
                <w:sz w:val="20"/>
                <w:szCs w:val="20"/>
                <w:lang w:eastAsia="en-GB"/>
              </w:rPr>
            </w:pPr>
          </w:p>
        </w:tc>
        <w:tc>
          <w:tcPr>
            <w:tcW w:w="3685" w:type="dxa"/>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Secondary</w:t>
            </w:r>
            <w:r>
              <w:rPr>
                <w:rFonts w:eastAsia="Times New Roman" w:cs="Times New Roman"/>
                <w:color w:val="000000"/>
                <w:sz w:val="20"/>
                <w:szCs w:val="20"/>
                <w:lang w:eastAsia="en-GB"/>
              </w:rPr>
              <w:t xml:space="preserve"> schools (total)</w:t>
            </w:r>
          </w:p>
        </w:tc>
        <w:tc>
          <w:tcPr>
            <w:tcW w:w="1276" w:type="dxa"/>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4048</w:t>
            </w:r>
          </w:p>
        </w:tc>
      </w:tr>
      <w:tr w:rsidR="00EC26BD" w:rsidRPr="00F324F1" w:rsidTr="00EC26BD">
        <w:trPr>
          <w:trHeight w:val="203"/>
        </w:trPr>
        <w:tc>
          <w:tcPr>
            <w:tcW w:w="2283" w:type="dxa"/>
            <w:vMerge w:val="restart"/>
            <w:shd w:val="clear" w:color="auto" w:fill="auto"/>
            <w:hideMark/>
          </w:tcPr>
          <w:p w:rsidR="00EC26BD" w:rsidRPr="00A11D34" w:rsidRDefault="00EC26BD" w:rsidP="00EC26BD">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 xml:space="preserve">Schools </w:t>
            </w:r>
            <w:r>
              <w:rPr>
                <w:rFonts w:eastAsia="Times New Roman" w:cs="Times New Roman"/>
                <w:color w:val="000000"/>
                <w:sz w:val="20"/>
                <w:szCs w:val="20"/>
                <w:lang w:eastAsia="en-GB"/>
              </w:rPr>
              <w:t xml:space="preserve">(total) </w:t>
            </w:r>
            <w:r w:rsidRPr="00A11D34">
              <w:rPr>
                <w:rFonts w:eastAsia="Times New Roman" w:cs="Times New Roman"/>
                <w:color w:val="000000"/>
                <w:sz w:val="20"/>
                <w:szCs w:val="20"/>
                <w:lang w:eastAsia="en-GB"/>
              </w:rPr>
              <w:t xml:space="preserve">receiving tuition within the </w:t>
            </w:r>
            <w:r w:rsidRPr="00F133FC">
              <w:rPr>
                <w:rFonts w:eastAsia="Times New Roman" w:cs="Times New Roman"/>
                <w:b/>
                <w:i/>
                <w:color w:val="000000"/>
                <w:sz w:val="20"/>
                <w:szCs w:val="20"/>
                <w:u w:val="single"/>
                <w:lang w:eastAsia="en-GB"/>
              </w:rPr>
              <w:t>K</w:t>
            </w:r>
            <w:r>
              <w:rPr>
                <w:rFonts w:eastAsia="Times New Roman" w:cs="Times New Roman"/>
                <w:b/>
                <w:i/>
                <w:color w:val="000000"/>
                <w:sz w:val="20"/>
                <w:szCs w:val="20"/>
                <w:u w:val="single"/>
                <w:lang w:eastAsia="en-GB"/>
              </w:rPr>
              <w:t>ey Stage 2 Instrumental and Vocal Tuition</w:t>
            </w:r>
            <w:r w:rsidRPr="00F133FC">
              <w:rPr>
                <w:rFonts w:eastAsia="Times New Roman" w:cs="Times New Roman"/>
                <w:b/>
                <w:i/>
                <w:color w:val="000000"/>
                <w:sz w:val="20"/>
                <w:szCs w:val="20"/>
                <w:u w:val="single"/>
                <w:lang w:eastAsia="en-GB"/>
              </w:rPr>
              <w:t xml:space="preserve"> programme</w:t>
            </w:r>
            <w:r>
              <w:rPr>
                <w:rFonts w:eastAsia="Times New Roman" w:cs="Times New Roman"/>
                <w:b/>
                <w:i/>
                <w:color w:val="000000"/>
                <w:sz w:val="20"/>
                <w:szCs w:val="20"/>
                <w:u w:val="single"/>
                <w:lang w:eastAsia="en-GB"/>
              </w:rPr>
              <w:t xml:space="preserve"> (KS2IVT)</w:t>
            </w:r>
          </w:p>
        </w:tc>
        <w:tc>
          <w:tcPr>
            <w:tcW w:w="1203" w:type="dxa"/>
            <w:vMerge w:val="restart"/>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 xml:space="preserve">11106 (69%)* </w:t>
            </w:r>
          </w:p>
        </w:tc>
        <w:tc>
          <w:tcPr>
            <w:tcW w:w="1207" w:type="dxa"/>
            <w:vMerge w:val="restart"/>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11424 (72%)*</w:t>
            </w:r>
          </w:p>
        </w:tc>
        <w:tc>
          <w:tcPr>
            <w:tcW w:w="284" w:type="dxa"/>
            <w:vMerge w:val="restart"/>
          </w:tcPr>
          <w:p w:rsidR="00EC26BD" w:rsidRPr="00A11D34" w:rsidRDefault="00EC26BD" w:rsidP="004E13DB">
            <w:pPr>
              <w:spacing w:after="0" w:line="240" w:lineRule="auto"/>
              <w:rPr>
                <w:rFonts w:eastAsia="Times New Roman" w:cs="Times New Roman"/>
                <w:color w:val="000000"/>
                <w:sz w:val="20"/>
                <w:szCs w:val="20"/>
                <w:lang w:eastAsia="en-GB"/>
              </w:rPr>
            </w:pPr>
          </w:p>
        </w:tc>
        <w:tc>
          <w:tcPr>
            <w:tcW w:w="3685" w:type="dxa"/>
          </w:tcPr>
          <w:p w:rsidR="00EC26BD" w:rsidRPr="00A11D34" w:rsidRDefault="00EC26BD" w:rsidP="00EC26BD">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Primary</w:t>
            </w:r>
            <w:r>
              <w:rPr>
                <w:rFonts w:eastAsia="Times New Roman" w:cs="Times New Roman"/>
                <w:color w:val="000000"/>
                <w:sz w:val="20"/>
                <w:szCs w:val="20"/>
                <w:lang w:eastAsia="en-GB"/>
              </w:rPr>
              <w:t xml:space="preserve"> schools in which one or more core roles are provided</w:t>
            </w:r>
          </w:p>
        </w:tc>
        <w:tc>
          <w:tcPr>
            <w:tcW w:w="1276" w:type="dxa"/>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14368 (83.2%)</w:t>
            </w:r>
          </w:p>
        </w:tc>
      </w:tr>
      <w:tr w:rsidR="00EC26BD" w:rsidRPr="00F324F1" w:rsidTr="00EC26BD">
        <w:trPr>
          <w:trHeight w:val="202"/>
        </w:trPr>
        <w:tc>
          <w:tcPr>
            <w:tcW w:w="2283" w:type="dxa"/>
            <w:vMerge/>
            <w:shd w:val="clear" w:color="auto" w:fill="auto"/>
          </w:tcPr>
          <w:p w:rsidR="00EC26BD" w:rsidRPr="00A11D34" w:rsidRDefault="00EC26BD" w:rsidP="004E13DB">
            <w:pPr>
              <w:spacing w:after="0" w:line="240" w:lineRule="auto"/>
              <w:rPr>
                <w:rFonts w:eastAsia="Times New Roman" w:cs="Times New Roman"/>
                <w:color w:val="000000"/>
                <w:sz w:val="20"/>
                <w:szCs w:val="20"/>
                <w:lang w:eastAsia="en-GB"/>
              </w:rPr>
            </w:pPr>
          </w:p>
        </w:tc>
        <w:tc>
          <w:tcPr>
            <w:tcW w:w="1203" w:type="dxa"/>
            <w:vMerge/>
          </w:tcPr>
          <w:p w:rsidR="00EC26BD" w:rsidRPr="00A11D34" w:rsidRDefault="00EC26BD" w:rsidP="004E13DB">
            <w:pPr>
              <w:spacing w:after="0" w:line="240" w:lineRule="auto"/>
              <w:rPr>
                <w:rFonts w:eastAsia="Times New Roman" w:cs="Times New Roman"/>
                <w:color w:val="000000"/>
                <w:sz w:val="20"/>
                <w:szCs w:val="20"/>
                <w:lang w:eastAsia="en-GB"/>
              </w:rPr>
            </w:pPr>
          </w:p>
        </w:tc>
        <w:tc>
          <w:tcPr>
            <w:tcW w:w="1207" w:type="dxa"/>
            <w:vMerge/>
          </w:tcPr>
          <w:p w:rsidR="00EC26BD" w:rsidRPr="00A11D34" w:rsidRDefault="00EC26BD" w:rsidP="004E13DB">
            <w:pPr>
              <w:spacing w:after="0" w:line="240" w:lineRule="auto"/>
              <w:rPr>
                <w:rFonts w:eastAsia="Times New Roman" w:cs="Times New Roman"/>
                <w:color w:val="000000"/>
                <w:sz w:val="20"/>
                <w:szCs w:val="20"/>
                <w:lang w:eastAsia="en-GB"/>
              </w:rPr>
            </w:pPr>
          </w:p>
        </w:tc>
        <w:tc>
          <w:tcPr>
            <w:tcW w:w="284" w:type="dxa"/>
            <w:vMerge/>
          </w:tcPr>
          <w:p w:rsidR="00EC26BD" w:rsidRPr="00A11D34" w:rsidRDefault="00EC26BD" w:rsidP="004E13DB">
            <w:pPr>
              <w:spacing w:after="0" w:line="240" w:lineRule="auto"/>
              <w:rPr>
                <w:rFonts w:eastAsia="Times New Roman" w:cs="Times New Roman"/>
                <w:color w:val="000000"/>
                <w:sz w:val="20"/>
                <w:szCs w:val="20"/>
                <w:lang w:eastAsia="en-GB"/>
              </w:rPr>
            </w:pPr>
          </w:p>
        </w:tc>
        <w:tc>
          <w:tcPr>
            <w:tcW w:w="3685" w:type="dxa"/>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Secondary</w:t>
            </w:r>
            <w:r>
              <w:rPr>
                <w:rFonts w:eastAsia="Times New Roman" w:cs="Times New Roman"/>
                <w:color w:val="000000"/>
                <w:sz w:val="20"/>
                <w:szCs w:val="20"/>
                <w:lang w:eastAsia="en-GB"/>
              </w:rPr>
              <w:t xml:space="preserve"> schools in which one or more core roles are provided</w:t>
            </w:r>
          </w:p>
        </w:tc>
        <w:tc>
          <w:tcPr>
            <w:tcW w:w="1276" w:type="dxa"/>
          </w:tcPr>
          <w:p w:rsidR="00EC26BD" w:rsidRPr="00A11D34" w:rsidRDefault="00EC26BD"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3073 (76%)</w:t>
            </w:r>
          </w:p>
        </w:tc>
      </w:tr>
      <w:tr w:rsidR="00EC26BD" w:rsidRPr="00F324F1" w:rsidTr="00EC26BD">
        <w:trPr>
          <w:trHeight w:val="300"/>
        </w:trPr>
        <w:tc>
          <w:tcPr>
            <w:tcW w:w="2283" w:type="dxa"/>
            <w:shd w:val="clear" w:color="auto" w:fill="auto"/>
            <w:noWrap/>
            <w:vAlign w:val="bottom"/>
            <w:hideMark/>
          </w:tcPr>
          <w:p w:rsidR="00EC26BD" w:rsidRPr="00A11D34" w:rsidRDefault="00EC26BD" w:rsidP="004E13DB">
            <w:pPr>
              <w:spacing w:after="0" w:line="240" w:lineRule="auto"/>
              <w:jc w:val="center"/>
              <w:rPr>
                <w:rFonts w:eastAsia="Times New Roman" w:cs="Times New Roman"/>
                <w:color w:val="000000"/>
                <w:sz w:val="20"/>
                <w:szCs w:val="20"/>
                <w:lang w:eastAsia="en-GB"/>
              </w:rPr>
            </w:pPr>
          </w:p>
        </w:tc>
        <w:tc>
          <w:tcPr>
            <w:tcW w:w="1203" w:type="dxa"/>
          </w:tcPr>
          <w:p w:rsidR="00EC26BD" w:rsidRPr="00A11D34" w:rsidRDefault="00EC26BD" w:rsidP="004E13DB">
            <w:pPr>
              <w:spacing w:after="0" w:line="240" w:lineRule="auto"/>
              <w:jc w:val="center"/>
              <w:rPr>
                <w:rFonts w:eastAsia="Times New Roman" w:cs="Times New Roman"/>
                <w:color w:val="000000"/>
                <w:sz w:val="20"/>
                <w:szCs w:val="20"/>
                <w:lang w:eastAsia="en-GB"/>
              </w:rPr>
            </w:pPr>
            <w:r w:rsidRPr="00A11D34">
              <w:rPr>
                <w:rFonts w:eastAsia="Times New Roman" w:cs="Times New Roman"/>
                <w:color w:val="000000"/>
                <w:sz w:val="20"/>
                <w:szCs w:val="20"/>
                <w:lang w:eastAsia="en-GB"/>
              </w:rPr>
              <w:t>*range 0% to 100%</w:t>
            </w:r>
          </w:p>
        </w:tc>
        <w:tc>
          <w:tcPr>
            <w:tcW w:w="1207" w:type="dxa"/>
          </w:tcPr>
          <w:p w:rsidR="00EC26BD" w:rsidRPr="00A11D34" w:rsidRDefault="00EC26BD" w:rsidP="004E13DB">
            <w:pPr>
              <w:spacing w:after="0" w:line="240" w:lineRule="auto"/>
              <w:jc w:val="center"/>
              <w:rPr>
                <w:rFonts w:eastAsia="Times New Roman" w:cs="Times New Roman"/>
                <w:color w:val="000000"/>
                <w:sz w:val="20"/>
                <w:szCs w:val="20"/>
                <w:lang w:eastAsia="en-GB"/>
              </w:rPr>
            </w:pPr>
            <w:r w:rsidRPr="00A11D34">
              <w:rPr>
                <w:rFonts w:eastAsia="Times New Roman" w:cs="Times New Roman"/>
                <w:color w:val="000000"/>
                <w:sz w:val="20"/>
                <w:szCs w:val="20"/>
                <w:lang w:eastAsia="en-GB"/>
              </w:rPr>
              <w:t>*range 22% to 100%</w:t>
            </w:r>
          </w:p>
        </w:tc>
        <w:tc>
          <w:tcPr>
            <w:tcW w:w="284" w:type="dxa"/>
          </w:tcPr>
          <w:p w:rsidR="00EC26BD" w:rsidRPr="00A11D34" w:rsidRDefault="00EC26BD" w:rsidP="004E13DB">
            <w:pPr>
              <w:spacing w:after="0" w:line="240" w:lineRule="auto"/>
              <w:jc w:val="center"/>
              <w:rPr>
                <w:rFonts w:eastAsia="Times New Roman" w:cs="Times New Roman"/>
                <w:color w:val="000000"/>
                <w:sz w:val="20"/>
                <w:szCs w:val="20"/>
                <w:lang w:eastAsia="en-GB"/>
              </w:rPr>
            </w:pPr>
          </w:p>
        </w:tc>
        <w:tc>
          <w:tcPr>
            <w:tcW w:w="3685" w:type="dxa"/>
          </w:tcPr>
          <w:p w:rsidR="00EC26BD" w:rsidRPr="00A11D34" w:rsidRDefault="00EC26BD" w:rsidP="00561A87">
            <w:pPr>
              <w:spacing w:after="0" w:line="240" w:lineRule="auto"/>
              <w:rPr>
                <w:rFonts w:eastAsia="Times New Roman" w:cs="Times New Roman"/>
                <w:color w:val="000000"/>
                <w:sz w:val="20"/>
                <w:szCs w:val="20"/>
                <w:lang w:eastAsia="en-GB"/>
              </w:rPr>
            </w:pPr>
          </w:p>
        </w:tc>
        <w:tc>
          <w:tcPr>
            <w:tcW w:w="1276" w:type="dxa"/>
          </w:tcPr>
          <w:p w:rsidR="00EC26BD" w:rsidRPr="00A11D34" w:rsidRDefault="00561A87" w:rsidP="00561A87">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Range not reported</w:t>
            </w:r>
          </w:p>
        </w:tc>
      </w:tr>
    </w:tbl>
    <w:p w:rsidR="00015196" w:rsidRDefault="00015196" w:rsidP="00B1181E">
      <w:pPr>
        <w:pStyle w:val="NoSpacing"/>
        <w:rPr>
          <w:b/>
          <w:u w:val="single"/>
        </w:rPr>
      </w:pPr>
      <w:r>
        <w:rPr>
          <w:b/>
          <w:u w:val="single"/>
        </w:rPr>
        <w:lastRenderedPageBreak/>
        <w:t>Pupils</w:t>
      </w:r>
    </w:p>
    <w:p w:rsidR="00015196" w:rsidRDefault="00015196" w:rsidP="00B1181E">
      <w:pPr>
        <w:pStyle w:val="NoSpacing"/>
        <w:rPr>
          <w:u w:val="single"/>
        </w:rPr>
      </w:pPr>
    </w:p>
    <w:p w:rsidR="002342E5" w:rsidRDefault="00AB7F02" w:rsidP="00B1181E">
      <w:pPr>
        <w:pStyle w:val="NoSpacing"/>
      </w:pPr>
      <w:r>
        <w:t>The Music Education Grant s</w:t>
      </w:r>
      <w:r w:rsidR="00015196">
        <w:t xml:space="preserve">urvey reported total pupils in Key Stage 2 and the numbers of pupils </w:t>
      </w:r>
      <w:r w:rsidR="00BC7ADD">
        <w:t>receiving tuition as part of</w:t>
      </w:r>
      <w:r w:rsidR="00015196">
        <w:t xml:space="preserve"> first access programmes. The NFER survey express</w:t>
      </w:r>
      <w:r w:rsidR="005A68E9">
        <w:t>ed</w:t>
      </w:r>
      <w:r w:rsidR="00015196">
        <w:t xml:space="preserve"> the numbers receiving first access tuition as a percentage of the total school population as some pupils were being offered first access from year groups 1 to 9.</w:t>
      </w:r>
      <w:r w:rsidR="003D0F8C">
        <w:t xml:space="preserve"> </w:t>
      </w:r>
      <w:r w:rsidR="002342E5">
        <w:t>The numbers experiencing first access programmes has dropped.</w:t>
      </w:r>
      <w:r w:rsidR="00CB0657">
        <w:t xml:space="preserve"> If only those experiencing tuition for the first time are counted, the drop is greater.</w:t>
      </w:r>
    </w:p>
    <w:p w:rsidR="002342E5" w:rsidRDefault="002342E5" w:rsidP="00B1181E">
      <w:pPr>
        <w:pStyle w:val="NoSpacing"/>
      </w:pPr>
    </w:p>
    <w:p w:rsidR="00015196" w:rsidRPr="00015196" w:rsidRDefault="003D0F8C" w:rsidP="00B1181E">
      <w:pPr>
        <w:pStyle w:val="NoSpacing"/>
      </w:pPr>
      <w:r>
        <w:t xml:space="preserve">The total number of pupils </w:t>
      </w:r>
      <w:r w:rsidRPr="003D0F8C">
        <w:rPr>
          <w:i/>
        </w:rPr>
        <w:t>continuing</w:t>
      </w:r>
      <w:r>
        <w:t xml:space="preserve"> after their first access experience has dropped from 44% in 2011/2012 to 35.6% in 2012/2013. It is not known whether the definition of ‘continuation’ has changed.</w:t>
      </w:r>
      <w:r w:rsidR="00E64350">
        <w:t xml:space="preserve"> (See Table 2).</w:t>
      </w:r>
    </w:p>
    <w:p w:rsidR="00015196" w:rsidRDefault="00015196" w:rsidP="00B1181E">
      <w:pPr>
        <w:pStyle w:val="NoSpacing"/>
        <w:rPr>
          <w:b/>
        </w:rPr>
      </w:pPr>
    </w:p>
    <w:p w:rsidR="0090664F" w:rsidRDefault="0090664F" w:rsidP="00B1181E">
      <w:pPr>
        <w:pStyle w:val="NoSpacing"/>
        <w:rPr>
          <w:b/>
        </w:rPr>
      </w:pPr>
      <w:r w:rsidRPr="00B1181E">
        <w:rPr>
          <w:b/>
        </w:rPr>
        <w:t>Table 2 Pupils</w:t>
      </w:r>
    </w:p>
    <w:p w:rsidR="00732DDB" w:rsidRPr="00B1181E" w:rsidRDefault="00732DDB" w:rsidP="00B1181E">
      <w:pPr>
        <w:pStyle w:val="NoSpacing"/>
        <w:rPr>
          <w:b/>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203"/>
        <w:gridCol w:w="1207"/>
        <w:gridCol w:w="284"/>
        <w:gridCol w:w="3685"/>
        <w:gridCol w:w="1276"/>
      </w:tblGrid>
      <w:tr w:rsidR="00732DDB" w:rsidRPr="00A11D34" w:rsidTr="00732DDB">
        <w:trPr>
          <w:trHeight w:val="300"/>
        </w:trPr>
        <w:tc>
          <w:tcPr>
            <w:tcW w:w="4693" w:type="dxa"/>
            <w:gridSpan w:val="3"/>
            <w:shd w:val="clear" w:color="auto" w:fill="auto"/>
            <w:noWrap/>
          </w:tcPr>
          <w:p w:rsidR="00732DDB" w:rsidRPr="00A11D34" w:rsidRDefault="00732DDB" w:rsidP="00732DDB">
            <w:pPr>
              <w:tabs>
                <w:tab w:val="right" w:pos="2704"/>
              </w:tabs>
              <w:spacing w:after="0" w:line="240" w:lineRule="auto"/>
              <w:jc w:val="center"/>
              <w:rPr>
                <w:rFonts w:eastAsia="Times New Roman" w:cs="Times New Roman"/>
                <w:b/>
                <w:color w:val="000000"/>
                <w:sz w:val="20"/>
                <w:szCs w:val="20"/>
                <w:lang w:eastAsia="en-GB"/>
              </w:rPr>
            </w:pPr>
            <w:r w:rsidRPr="00EC26BD">
              <w:rPr>
                <w:rFonts w:eastAsia="Times New Roman" w:cs="Times New Roman"/>
                <w:b/>
                <w:color w:val="000000"/>
                <w:sz w:val="24"/>
                <w:szCs w:val="24"/>
                <w:lang w:eastAsia="en-GB"/>
              </w:rPr>
              <w:t>Music Education Grant Survey</w:t>
            </w:r>
          </w:p>
        </w:tc>
        <w:tc>
          <w:tcPr>
            <w:tcW w:w="284" w:type="dxa"/>
          </w:tcPr>
          <w:p w:rsidR="00732DDB" w:rsidRPr="00EC26BD" w:rsidRDefault="00732DDB" w:rsidP="00732DDB">
            <w:pPr>
              <w:tabs>
                <w:tab w:val="right" w:pos="2704"/>
              </w:tabs>
              <w:spacing w:after="0" w:line="240" w:lineRule="auto"/>
              <w:jc w:val="center"/>
              <w:rPr>
                <w:rFonts w:eastAsia="Times New Roman" w:cs="Times New Roman"/>
                <w:b/>
                <w:color w:val="000000"/>
                <w:sz w:val="24"/>
                <w:szCs w:val="24"/>
                <w:lang w:eastAsia="en-GB"/>
              </w:rPr>
            </w:pPr>
          </w:p>
        </w:tc>
        <w:tc>
          <w:tcPr>
            <w:tcW w:w="4961" w:type="dxa"/>
            <w:gridSpan w:val="2"/>
          </w:tcPr>
          <w:p w:rsidR="00732DDB" w:rsidRPr="00A11D34" w:rsidRDefault="00732DDB" w:rsidP="00732DDB">
            <w:pPr>
              <w:tabs>
                <w:tab w:val="right" w:pos="2704"/>
              </w:tabs>
              <w:spacing w:after="0" w:line="240" w:lineRule="auto"/>
              <w:jc w:val="center"/>
              <w:rPr>
                <w:rFonts w:eastAsia="Times New Roman" w:cs="Times New Roman"/>
                <w:b/>
                <w:color w:val="000000"/>
                <w:sz w:val="20"/>
                <w:szCs w:val="20"/>
                <w:lang w:eastAsia="en-GB"/>
              </w:rPr>
            </w:pPr>
            <w:r w:rsidRPr="00EC26BD">
              <w:rPr>
                <w:rFonts w:eastAsia="Times New Roman" w:cs="Times New Roman"/>
                <w:b/>
                <w:color w:val="000000"/>
                <w:sz w:val="24"/>
                <w:szCs w:val="24"/>
                <w:lang w:eastAsia="en-GB"/>
              </w:rPr>
              <w:t>Key Data on Music Education Hubs</w:t>
            </w:r>
          </w:p>
        </w:tc>
      </w:tr>
      <w:tr w:rsidR="00732DDB" w:rsidRPr="00A11D34" w:rsidTr="00732DDB">
        <w:trPr>
          <w:trHeight w:val="300"/>
        </w:trPr>
        <w:tc>
          <w:tcPr>
            <w:tcW w:w="2283" w:type="dxa"/>
            <w:shd w:val="clear" w:color="auto" w:fill="auto"/>
            <w:noWrap/>
          </w:tcPr>
          <w:p w:rsidR="00732DDB" w:rsidRPr="00F133FC" w:rsidRDefault="00732DDB" w:rsidP="004E13DB">
            <w:pPr>
              <w:tabs>
                <w:tab w:val="right" w:pos="2704"/>
              </w:tabs>
              <w:spacing w:after="0" w:line="240" w:lineRule="auto"/>
              <w:rPr>
                <w:rFonts w:eastAsia="Times New Roman" w:cs="Times New Roman"/>
                <w:b/>
                <w:color w:val="000000"/>
                <w:sz w:val="20"/>
                <w:szCs w:val="20"/>
                <w:lang w:eastAsia="en-GB"/>
              </w:rPr>
            </w:pPr>
          </w:p>
        </w:tc>
        <w:tc>
          <w:tcPr>
            <w:tcW w:w="1203" w:type="dxa"/>
          </w:tcPr>
          <w:p w:rsidR="00732DDB" w:rsidRPr="00A11D34" w:rsidRDefault="00732DDB"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2010/2011</w:t>
            </w:r>
          </w:p>
        </w:tc>
        <w:tc>
          <w:tcPr>
            <w:tcW w:w="1207" w:type="dxa"/>
          </w:tcPr>
          <w:p w:rsidR="00732DDB" w:rsidRPr="00A11D34" w:rsidRDefault="00732DDB"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2011/2012</w:t>
            </w:r>
          </w:p>
        </w:tc>
        <w:tc>
          <w:tcPr>
            <w:tcW w:w="284" w:type="dxa"/>
          </w:tcPr>
          <w:p w:rsidR="00732DDB" w:rsidRPr="00A11D34" w:rsidRDefault="00732DDB" w:rsidP="004E13DB">
            <w:pPr>
              <w:tabs>
                <w:tab w:val="right" w:pos="2704"/>
              </w:tabs>
              <w:spacing w:after="0" w:line="240" w:lineRule="auto"/>
              <w:rPr>
                <w:rFonts w:eastAsia="Times New Roman" w:cs="Times New Roman"/>
                <w:b/>
                <w:color w:val="000000"/>
                <w:sz w:val="20"/>
                <w:szCs w:val="20"/>
                <w:lang w:eastAsia="en-GB"/>
              </w:rPr>
            </w:pPr>
          </w:p>
        </w:tc>
        <w:tc>
          <w:tcPr>
            <w:tcW w:w="3685" w:type="dxa"/>
          </w:tcPr>
          <w:p w:rsidR="00732DDB" w:rsidRPr="00A11D34" w:rsidRDefault="00732DDB" w:rsidP="004E13DB">
            <w:pPr>
              <w:tabs>
                <w:tab w:val="right" w:pos="2704"/>
              </w:tabs>
              <w:spacing w:after="0" w:line="240" w:lineRule="auto"/>
              <w:rPr>
                <w:rFonts w:eastAsia="Times New Roman" w:cs="Times New Roman"/>
                <w:b/>
                <w:color w:val="000000"/>
                <w:sz w:val="20"/>
                <w:szCs w:val="20"/>
                <w:lang w:eastAsia="en-GB"/>
              </w:rPr>
            </w:pPr>
          </w:p>
        </w:tc>
        <w:tc>
          <w:tcPr>
            <w:tcW w:w="1276" w:type="dxa"/>
          </w:tcPr>
          <w:p w:rsidR="00732DDB" w:rsidRPr="00A11D34" w:rsidRDefault="00732DDB"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2012/2013</w:t>
            </w:r>
          </w:p>
        </w:tc>
      </w:tr>
      <w:tr w:rsidR="00732DDB" w:rsidRPr="00A11D34" w:rsidTr="00732DDB">
        <w:trPr>
          <w:trHeight w:val="289"/>
        </w:trPr>
        <w:tc>
          <w:tcPr>
            <w:tcW w:w="2283" w:type="dxa"/>
            <w:shd w:val="clear" w:color="auto" w:fill="auto"/>
            <w:hideMark/>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 xml:space="preserve">Total number of </w:t>
            </w:r>
            <w:r w:rsidRPr="00675435">
              <w:rPr>
                <w:rFonts w:eastAsia="Times New Roman" w:cs="Times New Roman"/>
                <w:b/>
                <w:i/>
                <w:color w:val="000000"/>
                <w:sz w:val="20"/>
                <w:szCs w:val="20"/>
                <w:u w:val="single"/>
                <w:lang w:eastAsia="en-GB"/>
              </w:rPr>
              <w:t>KS2 pupils</w:t>
            </w:r>
          </w:p>
        </w:tc>
        <w:tc>
          <w:tcPr>
            <w:tcW w:w="1203" w:type="dxa"/>
          </w:tcPr>
          <w:p w:rsidR="00732DDB" w:rsidRPr="00A11D34" w:rsidRDefault="00732DDB" w:rsidP="004E13DB">
            <w:pPr>
              <w:tabs>
                <w:tab w:val="left" w:pos="638"/>
              </w:tabs>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2148316</w:t>
            </w:r>
            <w:r w:rsidRPr="00A11D34">
              <w:rPr>
                <w:rFonts w:eastAsia="Times New Roman" w:cs="Times New Roman"/>
                <w:color w:val="000000"/>
                <w:sz w:val="20"/>
                <w:szCs w:val="20"/>
                <w:lang w:eastAsia="en-GB"/>
              </w:rPr>
              <w:tab/>
            </w:r>
          </w:p>
        </w:tc>
        <w:tc>
          <w:tcPr>
            <w:tcW w:w="1207" w:type="dxa"/>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2160080</w:t>
            </w:r>
          </w:p>
        </w:tc>
        <w:tc>
          <w:tcPr>
            <w:tcW w:w="284" w:type="dxa"/>
          </w:tcPr>
          <w:p w:rsidR="00732DDB" w:rsidRPr="00A11D34" w:rsidRDefault="00732DDB" w:rsidP="004E13DB">
            <w:pPr>
              <w:spacing w:after="0" w:line="240" w:lineRule="auto"/>
              <w:rPr>
                <w:rFonts w:eastAsia="Times New Roman" w:cs="Times New Roman"/>
                <w:color w:val="000000"/>
                <w:sz w:val="20"/>
                <w:szCs w:val="20"/>
                <w:lang w:eastAsia="en-GB"/>
              </w:rPr>
            </w:pPr>
          </w:p>
        </w:tc>
        <w:tc>
          <w:tcPr>
            <w:tcW w:w="3685" w:type="dxa"/>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Total pupils in state-funded schools</w:t>
            </w:r>
          </w:p>
        </w:tc>
        <w:tc>
          <w:tcPr>
            <w:tcW w:w="1276" w:type="dxa"/>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5116135</w:t>
            </w:r>
          </w:p>
        </w:tc>
      </w:tr>
      <w:tr w:rsidR="00732DDB" w:rsidRPr="00A11D34" w:rsidTr="00732DDB">
        <w:trPr>
          <w:trHeight w:val="600"/>
        </w:trPr>
        <w:tc>
          <w:tcPr>
            <w:tcW w:w="2283" w:type="dxa"/>
            <w:shd w:val="clear" w:color="auto" w:fill="auto"/>
            <w:hideMark/>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Pupils receiving tuition within the</w:t>
            </w:r>
            <w:r w:rsidRPr="00675435">
              <w:rPr>
                <w:rFonts w:eastAsia="Times New Roman" w:cs="Times New Roman"/>
                <w:b/>
                <w:i/>
                <w:color w:val="000000"/>
                <w:sz w:val="20"/>
                <w:szCs w:val="20"/>
                <w:u w:val="single"/>
                <w:lang w:eastAsia="en-GB"/>
              </w:rPr>
              <w:t xml:space="preserve"> KS2IVT programme</w:t>
            </w:r>
          </w:p>
        </w:tc>
        <w:tc>
          <w:tcPr>
            <w:tcW w:w="1203" w:type="dxa"/>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552139</w:t>
            </w:r>
          </w:p>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(26%)</w:t>
            </w:r>
          </w:p>
        </w:tc>
        <w:tc>
          <w:tcPr>
            <w:tcW w:w="1207" w:type="dxa"/>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593878</w:t>
            </w:r>
          </w:p>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(27%)</w:t>
            </w:r>
          </w:p>
        </w:tc>
        <w:tc>
          <w:tcPr>
            <w:tcW w:w="284" w:type="dxa"/>
          </w:tcPr>
          <w:p w:rsidR="00732DDB" w:rsidRPr="00A11D34" w:rsidRDefault="00732DDB" w:rsidP="004E13DB">
            <w:pPr>
              <w:spacing w:after="0" w:line="240" w:lineRule="auto"/>
              <w:rPr>
                <w:rFonts w:eastAsia="Times New Roman" w:cs="Times New Roman"/>
                <w:color w:val="000000"/>
                <w:sz w:val="20"/>
                <w:szCs w:val="20"/>
                <w:lang w:eastAsia="en-GB"/>
              </w:rPr>
            </w:pPr>
          </w:p>
        </w:tc>
        <w:tc>
          <w:tcPr>
            <w:tcW w:w="3685" w:type="dxa"/>
          </w:tcPr>
          <w:p w:rsidR="00732DDB" w:rsidRPr="00A11D34" w:rsidRDefault="00A83A4C" w:rsidP="004E13DB">
            <w:pPr>
              <w:spacing w:after="0" w:line="240" w:lineRule="auto"/>
              <w:rPr>
                <w:rFonts w:eastAsia="Times New Roman" w:cs="Times New Roman"/>
                <w:color w:val="000000"/>
                <w:sz w:val="20"/>
                <w:szCs w:val="20"/>
                <w:lang w:eastAsia="en-GB"/>
              </w:rPr>
            </w:pPr>
            <w:r w:rsidRPr="00A11D34">
              <w:rPr>
                <w:rFonts w:eastAsia="Times New Roman" w:cs="Times New Roman"/>
                <w:b/>
                <w:color w:val="000000"/>
                <w:sz w:val="20"/>
                <w:szCs w:val="20"/>
                <w:lang w:eastAsia="en-GB"/>
              </w:rPr>
              <w:t>KPI2</w:t>
            </w:r>
            <w:r w:rsidRPr="00A11D34">
              <w:rPr>
                <w:rFonts w:eastAsia="Times New Roman" w:cs="Times New Roman"/>
                <w:color w:val="000000"/>
                <w:sz w:val="20"/>
                <w:szCs w:val="20"/>
                <w:lang w:eastAsia="en-GB"/>
              </w:rPr>
              <w:t xml:space="preserve"> The number and percentage of pupils receiving at least </w:t>
            </w:r>
            <w:r w:rsidRPr="00675435">
              <w:rPr>
                <w:rFonts w:eastAsia="Times New Roman" w:cs="Times New Roman"/>
                <w:b/>
                <w:i/>
                <w:color w:val="000000"/>
                <w:sz w:val="20"/>
                <w:szCs w:val="20"/>
                <w:u w:val="single"/>
                <w:lang w:eastAsia="en-GB"/>
              </w:rPr>
              <w:t xml:space="preserve">one term </w:t>
            </w:r>
            <w:r w:rsidRPr="00A11D34">
              <w:rPr>
                <w:rFonts w:eastAsia="Times New Roman" w:cs="Times New Roman"/>
                <w:color w:val="000000"/>
                <w:sz w:val="20"/>
                <w:szCs w:val="20"/>
                <w:lang w:eastAsia="en-GB"/>
              </w:rPr>
              <w:t>of whole class ensemble tuition (WCET) (for each year group 1-9)</w:t>
            </w:r>
          </w:p>
        </w:tc>
        <w:tc>
          <w:tcPr>
            <w:tcW w:w="1276" w:type="dxa"/>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531422 (437975 for the first time 8.6%)</w:t>
            </w:r>
          </w:p>
        </w:tc>
      </w:tr>
      <w:tr w:rsidR="00732DDB" w:rsidRPr="00A11D34" w:rsidTr="00732DDB">
        <w:trPr>
          <w:trHeight w:val="1500"/>
        </w:trPr>
        <w:tc>
          <w:tcPr>
            <w:tcW w:w="2283" w:type="dxa"/>
            <w:shd w:val="clear" w:color="auto" w:fill="auto"/>
            <w:hideMark/>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 xml:space="preserve">Pupils receiving tuition within the KS2IVT programme: </w:t>
            </w:r>
            <w:r w:rsidRPr="00675435">
              <w:rPr>
                <w:rFonts w:eastAsia="Times New Roman" w:cs="Times New Roman"/>
                <w:b/>
                <w:i/>
                <w:color w:val="000000"/>
                <w:sz w:val="20"/>
                <w:szCs w:val="20"/>
                <w:u w:val="single"/>
                <w:lang w:eastAsia="en-GB"/>
              </w:rPr>
              <w:t>numbers continuing immediately after the first free year</w:t>
            </w:r>
            <w:r w:rsidRPr="00A11D34">
              <w:rPr>
                <w:rFonts w:eastAsia="Times New Roman" w:cs="Times New Roman"/>
                <w:color w:val="000000"/>
                <w:sz w:val="20"/>
                <w:szCs w:val="20"/>
                <w:lang w:eastAsia="en-GB"/>
              </w:rPr>
              <w:t xml:space="preserve"> </w:t>
            </w:r>
          </w:p>
        </w:tc>
        <w:tc>
          <w:tcPr>
            <w:tcW w:w="1203" w:type="dxa"/>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214753 (42%)</w:t>
            </w:r>
          </w:p>
        </w:tc>
        <w:tc>
          <w:tcPr>
            <w:tcW w:w="1207" w:type="dxa"/>
          </w:tcPr>
          <w:p w:rsidR="00732DDB" w:rsidRPr="00A11D34" w:rsidRDefault="00CC14E2" w:rsidP="004E13D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245640 (44%)</w:t>
            </w:r>
          </w:p>
        </w:tc>
        <w:tc>
          <w:tcPr>
            <w:tcW w:w="284" w:type="dxa"/>
          </w:tcPr>
          <w:p w:rsidR="00732DDB" w:rsidRPr="00A11D34" w:rsidRDefault="00732DDB" w:rsidP="004E13DB">
            <w:pPr>
              <w:spacing w:after="0" w:line="240" w:lineRule="auto"/>
              <w:rPr>
                <w:rFonts w:eastAsia="Times New Roman" w:cs="Times New Roman"/>
                <w:b/>
                <w:color w:val="000000"/>
                <w:sz w:val="20"/>
                <w:szCs w:val="20"/>
                <w:lang w:eastAsia="en-GB"/>
              </w:rPr>
            </w:pPr>
          </w:p>
        </w:tc>
        <w:tc>
          <w:tcPr>
            <w:tcW w:w="3685" w:type="dxa"/>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b/>
                <w:color w:val="000000"/>
                <w:sz w:val="20"/>
                <w:szCs w:val="20"/>
                <w:lang w:eastAsia="en-GB"/>
              </w:rPr>
              <w:t xml:space="preserve">KPI3 </w:t>
            </w:r>
            <w:r w:rsidRPr="00A11D34">
              <w:rPr>
                <w:rFonts w:eastAsia="Times New Roman" w:cs="Times New Roman"/>
                <w:color w:val="000000"/>
                <w:sz w:val="20"/>
                <w:szCs w:val="20"/>
                <w:lang w:eastAsia="en-GB"/>
              </w:rPr>
              <w:t xml:space="preserve">The number and percentage of pupils </w:t>
            </w:r>
            <w:r w:rsidRPr="00675435">
              <w:rPr>
                <w:rFonts w:eastAsia="Times New Roman" w:cs="Times New Roman"/>
                <w:b/>
                <w:i/>
                <w:color w:val="000000"/>
                <w:sz w:val="20"/>
                <w:szCs w:val="20"/>
                <w:u w:val="single"/>
                <w:lang w:eastAsia="en-GB"/>
              </w:rPr>
              <w:t>continuing their musical education</w:t>
            </w:r>
            <w:r w:rsidRPr="00A11D34">
              <w:rPr>
                <w:rFonts w:eastAsia="Times New Roman" w:cs="Times New Roman"/>
                <w:color w:val="000000"/>
                <w:sz w:val="20"/>
                <w:szCs w:val="20"/>
                <w:lang w:eastAsia="en-GB"/>
              </w:rPr>
              <w:t xml:space="preserve"> beyond whole class ensemble tuition (WCET)</w:t>
            </w:r>
          </w:p>
        </w:tc>
        <w:tc>
          <w:tcPr>
            <w:tcW w:w="1276" w:type="dxa"/>
          </w:tcPr>
          <w:p w:rsidR="00732DDB" w:rsidRPr="00A11D34" w:rsidRDefault="00732DDB"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175374 (35.6%)</w:t>
            </w:r>
          </w:p>
        </w:tc>
      </w:tr>
    </w:tbl>
    <w:p w:rsidR="00B1181E" w:rsidRDefault="00B1181E" w:rsidP="00B1181E">
      <w:pPr>
        <w:pStyle w:val="NoSpacing"/>
        <w:rPr>
          <w:b/>
        </w:rPr>
      </w:pPr>
    </w:p>
    <w:p w:rsidR="005A68E9" w:rsidRDefault="005A68E9" w:rsidP="00B1181E">
      <w:pPr>
        <w:pStyle w:val="NoSpacing"/>
        <w:rPr>
          <w:b/>
          <w:u w:val="single"/>
        </w:rPr>
      </w:pPr>
      <w:r>
        <w:rPr>
          <w:b/>
          <w:u w:val="single"/>
        </w:rPr>
        <w:t>Standards</w:t>
      </w:r>
    </w:p>
    <w:p w:rsidR="005A68E9" w:rsidRDefault="005A68E9" w:rsidP="00B1181E">
      <w:pPr>
        <w:pStyle w:val="NoSpacing"/>
        <w:rPr>
          <w:b/>
          <w:u w:val="single"/>
        </w:rPr>
      </w:pPr>
    </w:p>
    <w:p w:rsidR="005A68E9" w:rsidRPr="005A68E9" w:rsidRDefault="005A68E9" w:rsidP="00B1181E">
      <w:pPr>
        <w:pStyle w:val="NoSpacing"/>
      </w:pPr>
      <w:r>
        <w:t xml:space="preserve">The data </w:t>
      </w:r>
      <w:r w:rsidR="00F61CE9">
        <w:t>on standards in</w:t>
      </w:r>
      <w:r>
        <w:t xml:space="preserve"> these two reports appears to be directly comparable. </w:t>
      </w:r>
      <w:r w:rsidR="003E5021">
        <w:t xml:space="preserve">At least </w:t>
      </w:r>
      <w:r>
        <w:t>4000 intermediate pupils have progressed to advanced level</w:t>
      </w:r>
      <w:r w:rsidR="003E5021">
        <w:t xml:space="preserve"> (some advanced level pupils will have left school)</w:t>
      </w:r>
      <w:r>
        <w:t>; a similar number of pupils have progressed from Foundation to Intermediate standard and from Entry to Foundation standard. However,</w:t>
      </w:r>
      <w:r w:rsidR="00E63D33">
        <w:t xml:space="preserve"> the total number of pupils learning has decreased with</w:t>
      </w:r>
      <w:r>
        <w:t xml:space="preserve"> more than 100,000 fewer pupils reported at entry level.</w:t>
      </w:r>
      <w:r w:rsidR="00E64350">
        <w:t xml:space="preserve"> (See Table 3).</w:t>
      </w:r>
    </w:p>
    <w:p w:rsidR="005A68E9" w:rsidRDefault="005A68E9" w:rsidP="00B1181E">
      <w:pPr>
        <w:pStyle w:val="NoSpacing"/>
        <w:rPr>
          <w:b/>
        </w:rPr>
      </w:pPr>
    </w:p>
    <w:p w:rsidR="0090664F" w:rsidRDefault="0090664F" w:rsidP="00B1181E">
      <w:pPr>
        <w:pStyle w:val="NoSpacing"/>
        <w:rPr>
          <w:b/>
        </w:rPr>
      </w:pPr>
      <w:r w:rsidRPr="00B1181E">
        <w:rPr>
          <w:b/>
        </w:rPr>
        <w:t>Table 3 Standards</w:t>
      </w:r>
    </w:p>
    <w:p w:rsidR="00725229" w:rsidRPr="00B1181E" w:rsidRDefault="00725229" w:rsidP="00B1181E">
      <w:pPr>
        <w:pStyle w:val="NoSpacing"/>
        <w:rPr>
          <w:b/>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203"/>
        <w:gridCol w:w="1207"/>
        <w:gridCol w:w="284"/>
        <w:gridCol w:w="3685"/>
        <w:gridCol w:w="1276"/>
      </w:tblGrid>
      <w:tr w:rsidR="00725229" w:rsidRPr="00A11D34" w:rsidTr="00725229">
        <w:trPr>
          <w:trHeight w:val="300"/>
        </w:trPr>
        <w:tc>
          <w:tcPr>
            <w:tcW w:w="4693" w:type="dxa"/>
            <w:gridSpan w:val="3"/>
            <w:shd w:val="clear" w:color="auto" w:fill="auto"/>
            <w:noWrap/>
          </w:tcPr>
          <w:p w:rsidR="00725229" w:rsidRPr="00A11D34" w:rsidRDefault="00725229" w:rsidP="00732DDB">
            <w:pPr>
              <w:tabs>
                <w:tab w:val="right" w:pos="2704"/>
              </w:tabs>
              <w:spacing w:after="0" w:line="240" w:lineRule="auto"/>
              <w:jc w:val="center"/>
              <w:rPr>
                <w:rFonts w:eastAsia="Times New Roman" w:cs="Times New Roman"/>
                <w:b/>
                <w:color w:val="000000"/>
                <w:sz w:val="20"/>
                <w:szCs w:val="20"/>
                <w:lang w:eastAsia="en-GB"/>
              </w:rPr>
            </w:pPr>
            <w:r w:rsidRPr="00EC26BD">
              <w:rPr>
                <w:rFonts w:eastAsia="Times New Roman" w:cs="Times New Roman"/>
                <w:b/>
                <w:color w:val="000000"/>
                <w:sz w:val="24"/>
                <w:szCs w:val="24"/>
                <w:lang w:eastAsia="en-GB"/>
              </w:rPr>
              <w:t>Music Education Grant Survey</w:t>
            </w:r>
          </w:p>
        </w:tc>
        <w:tc>
          <w:tcPr>
            <w:tcW w:w="284" w:type="dxa"/>
          </w:tcPr>
          <w:p w:rsidR="00725229" w:rsidRPr="00EC26BD" w:rsidRDefault="00725229" w:rsidP="00732DDB">
            <w:pPr>
              <w:tabs>
                <w:tab w:val="right" w:pos="2704"/>
              </w:tabs>
              <w:spacing w:after="0" w:line="240" w:lineRule="auto"/>
              <w:jc w:val="center"/>
              <w:rPr>
                <w:rFonts w:eastAsia="Times New Roman" w:cs="Times New Roman"/>
                <w:b/>
                <w:color w:val="000000"/>
                <w:sz w:val="24"/>
                <w:szCs w:val="24"/>
                <w:lang w:eastAsia="en-GB"/>
              </w:rPr>
            </w:pPr>
          </w:p>
        </w:tc>
        <w:tc>
          <w:tcPr>
            <w:tcW w:w="4961" w:type="dxa"/>
            <w:gridSpan w:val="2"/>
          </w:tcPr>
          <w:p w:rsidR="00725229" w:rsidRPr="00A11D34" w:rsidRDefault="00725229" w:rsidP="00732DDB">
            <w:pPr>
              <w:tabs>
                <w:tab w:val="right" w:pos="2704"/>
              </w:tabs>
              <w:spacing w:after="0" w:line="240" w:lineRule="auto"/>
              <w:jc w:val="center"/>
              <w:rPr>
                <w:rFonts w:eastAsia="Times New Roman" w:cs="Times New Roman"/>
                <w:b/>
                <w:color w:val="000000"/>
                <w:sz w:val="20"/>
                <w:szCs w:val="20"/>
                <w:lang w:eastAsia="en-GB"/>
              </w:rPr>
            </w:pPr>
            <w:r w:rsidRPr="00EC26BD">
              <w:rPr>
                <w:rFonts w:eastAsia="Times New Roman" w:cs="Times New Roman"/>
                <w:b/>
                <w:color w:val="000000"/>
                <w:sz w:val="24"/>
                <w:szCs w:val="24"/>
                <w:lang w:eastAsia="en-GB"/>
              </w:rPr>
              <w:t>Key Data on Music Education Hubs</w:t>
            </w:r>
          </w:p>
        </w:tc>
      </w:tr>
      <w:tr w:rsidR="00725229" w:rsidRPr="00A11D34" w:rsidTr="00725229">
        <w:trPr>
          <w:trHeight w:val="300"/>
        </w:trPr>
        <w:tc>
          <w:tcPr>
            <w:tcW w:w="2283" w:type="dxa"/>
            <w:shd w:val="clear" w:color="auto" w:fill="auto"/>
            <w:noWrap/>
          </w:tcPr>
          <w:p w:rsidR="00725229" w:rsidRPr="00F133FC" w:rsidRDefault="00725229" w:rsidP="004E13DB">
            <w:pPr>
              <w:tabs>
                <w:tab w:val="right" w:pos="2704"/>
              </w:tabs>
              <w:spacing w:after="0" w:line="240" w:lineRule="auto"/>
              <w:rPr>
                <w:rFonts w:eastAsia="Times New Roman" w:cs="Times New Roman"/>
                <w:b/>
                <w:color w:val="000000"/>
                <w:sz w:val="20"/>
                <w:szCs w:val="20"/>
                <w:lang w:eastAsia="en-GB"/>
              </w:rPr>
            </w:pPr>
          </w:p>
        </w:tc>
        <w:tc>
          <w:tcPr>
            <w:tcW w:w="1203" w:type="dxa"/>
          </w:tcPr>
          <w:p w:rsidR="00725229" w:rsidRPr="00A11D34" w:rsidRDefault="00725229"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2010/2011</w:t>
            </w:r>
          </w:p>
        </w:tc>
        <w:tc>
          <w:tcPr>
            <w:tcW w:w="1207" w:type="dxa"/>
          </w:tcPr>
          <w:p w:rsidR="00725229" w:rsidRPr="00A11D34" w:rsidRDefault="00725229"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2011/2012</w:t>
            </w:r>
          </w:p>
        </w:tc>
        <w:tc>
          <w:tcPr>
            <w:tcW w:w="284" w:type="dxa"/>
          </w:tcPr>
          <w:p w:rsidR="00725229" w:rsidRPr="00A11D34" w:rsidRDefault="00725229" w:rsidP="004E13DB">
            <w:pPr>
              <w:tabs>
                <w:tab w:val="right" w:pos="2704"/>
              </w:tabs>
              <w:spacing w:after="0" w:line="240" w:lineRule="auto"/>
              <w:rPr>
                <w:rFonts w:eastAsia="Times New Roman" w:cs="Times New Roman"/>
                <w:b/>
                <w:color w:val="000000"/>
                <w:sz w:val="20"/>
                <w:szCs w:val="20"/>
                <w:lang w:eastAsia="en-GB"/>
              </w:rPr>
            </w:pPr>
          </w:p>
        </w:tc>
        <w:tc>
          <w:tcPr>
            <w:tcW w:w="3685" w:type="dxa"/>
          </w:tcPr>
          <w:p w:rsidR="00725229" w:rsidRPr="00A11D34" w:rsidRDefault="00725229" w:rsidP="004E13DB">
            <w:pPr>
              <w:tabs>
                <w:tab w:val="right" w:pos="2704"/>
              </w:tabs>
              <w:spacing w:after="0" w:line="240" w:lineRule="auto"/>
              <w:rPr>
                <w:rFonts w:eastAsia="Times New Roman" w:cs="Times New Roman"/>
                <w:b/>
                <w:color w:val="000000"/>
                <w:sz w:val="20"/>
                <w:szCs w:val="20"/>
                <w:lang w:eastAsia="en-GB"/>
              </w:rPr>
            </w:pPr>
          </w:p>
        </w:tc>
        <w:tc>
          <w:tcPr>
            <w:tcW w:w="1276" w:type="dxa"/>
          </w:tcPr>
          <w:p w:rsidR="00725229" w:rsidRPr="00A11D34" w:rsidRDefault="00725229"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2012/2013</w:t>
            </w:r>
          </w:p>
        </w:tc>
      </w:tr>
      <w:tr w:rsidR="00725229" w:rsidRPr="00A11D34" w:rsidTr="00725229">
        <w:trPr>
          <w:trHeight w:val="300"/>
        </w:trPr>
        <w:tc>
          <w:tcPr>
            <w:tcW w:w="2283" w:type="dxa"/>
            <w:shd w:val="clear" w:color="auto" w:fill="auto"/>
            <w:noWrap/>
            <w:hideMark/>
          </w:tcPr>
          <w:p w:rsidR="00725229" w:rsidRDefault="00725229" w:rsidP="004E13DB">
            <w:pPr>
              <w:spacing w:after="0" w:line="240" w:lineRule="auto"/>
              <w:rPr>
                <w:rFonts w:eastAsia="Times New Roman" w:cs="Times New Roman"/>
                <w:b/>
                <w:bCs/>
                <w:color w:val="000000"/>
                <w:sz w:val="20"/>
                <w:szCs w:val="20"/>
                <w:lang w:eastAsia="en-GB"/>
              </w:rPr>
            </w:pPr>
          </w:p>
          <w:p w:rsidR="00725229" w:rsidRPr="00A11D34" w:rsidRDefault="00725229" w:rsidP="004E13DB">
            <w:pPr>
              <w:spacing w:after="0" w:line="240" w:lineRule="auto"/>
              <w:rPr>
                <w:rFonts w:eastAsia="Times New Roman" w:cs="Times New Roman"/>
                <w:b/>
                <w:bCs/>
                <w:color w:val="000000"/>
                <w:sz w:val="20"/>
                <w:szCs w:val="20"/>
                <w:lang w:eastAsia="en-GB"/>
              </w:rPr>
            </w:pPr>
          </w:p>
        </w:tc>
        <w:tc>
          <w:tcPr>
            <w:tcW w:w="1203" w:type="dxa"/>
          </w:tcPr>
          <w:p w:rsidR="00725229" w:rsidRPr="00A11D34" w:rsidRDefault="00725229" w:rsidP="004E13DB">
            <w:pPr>
              <w:spacing w:after="0" w:line="240" w:lineRule="auto"/>
              <w:rPr>
                <w:rFonts w:eastAsia="Times New Roman" w:cs="Times New Roman"/>
                <w:b/>
                <w:bCs/>
                <w:color w:val="000000"/>
                <w:sz w:val="20"/>
                <w:szCs w:val="20"/>
                <w:lang w:eastAsia="en-GB"/>
              </w:rPr>
            </w:pPr>
          </w:p>
        </w:tc>
        <w:tc>
          <w:tcPr>
            <w:tcW w:w="1207" w:type="dxa"/>
          </w:tcPr>
          <w:p w:rsidR="00725229" w:rsidRPr="00A11D34" w:rsidRDefault="00725229" w:rsidP="004E13DB">
            <w:pPr>
              <w:spacing w:after="0" w:line="240" w:lineRule="auto"/>
              <w:rPr>
                <w:rFonts w:eastAsia="Times New Roman" w:cs="Times New Roman"/>
                <w:b/>
                <w:bCs/>
                <w:color w:val="000000"/>
                <w:sz w:val="20"/>
                <w:szCs w:val="20"/>
                <w:lang w:eastAsia="en-GB"/>
              </w:rPr>
            </w:pPr>
          </w:p>
        </w:tc>
        <w:tc>
          <w:tcPr>
            <w:tcW w:w="284" w:type="dxa"/>
          </w:tcPr>
          <w:p w:rsidR="00725229" w:rsidRPr="00A11D34" w:rsidRDefault="00725229" w:rsidP="004E13DB">
            <w:pPr>
              <w:spacing w:after="0" w:line="240" w:lineRule="auto"/>
              <w:rPr>
                <w:rFonts w:eastAsia="Times New Roman" w:cs="Times New Roman"/>
                <w:b/>
                <w:bCs/>
                <w:color w:val="000000"/>
                <w:sz w:val="20"/>
                <w:szCs w:val="20"/>
                <w:lang w:eastAsia="en-GB"/>
              </w:rPr>
            </w:pPr>
          </w:p>
        </w:tc>
        <w:tc>
          <w:tcPr>
            <w:tcW w:w="3685" w:type="dxa"/>
          </w:tcPr>
          <w:p w:rsidR="00725229" w:rsidRPr="00A11D34" w:rsidRDefault="00725229" w:rsidP="004E13DB">
            <w:pPr>
              <w:spacing w:after="0" w:line="240" w:lineRule="auto"/>
              <w:rPr>
                <w:rFonts w:eastAsia="Times New Roman" w:cs="Times New Roman"/>
                <w:b/>
                <w:bCs/>
                <w:color w:val="000000"/>
                <w:sz w:val="20"/>
                <w:szCs w:val="20"/>
                <w:lang w:eastAsia="en-GB"/>
              </w:rPr>
            </w:pPr>
            <w:r w:rsidRPr="00A11D34">
              <w:rPr>
                <w:rFonts w:eastAsia="Times New Roman" w:cs="Times New Roman"/>
                <w:b/>
                <w:bCs/>
                <w:color w:val="000000"/>
                <w:sz w:val="20"/>
                <w:szCs w:val="20"/>
                <w:lang w:eastAsia="en-GB"/>
              </w:rPr>
              <w:t>Please indicate the standards achieved by pupils in your hub area in the Academic Year.</w:t>
            </w:r>
          </w:p>
        </w:tc>
        <w:tc>
          <w:tcPr>
            <w:tcW w:w="1276" w:type="dxa"/>
          </w:tcPr>
          <w:p w:rsidR="00725229" w:rsidRPr="00A11D34" w:rsidRDefault="00725229" w:rsidP="004E13DB">
            <w:pPr>
              <w:spacing w:after="0" w:line="240" w:lineRule="auto"/>
              <w:rPr>
                <w:rFonts w:eastAsia="Times New Roman" w:cs="Times New Roman"/>
                <w:b/>
                <w:bCs/>
                <w:color w:val="000000"/>
                <w:sz w:val="20"/>
                <w:szCs w:val="20"/>
                <w:lang w:eastAsia="en-GB"/>
              </w:rPr>
            </w:pPr>
          </w:p>
        </w:tc>
      </w:tr>
      <w:tr w:rsidR="00725229" w:rsidRPr="00A11D34" w:rsidTr="00725229">
        <w:trPr>
          <w:trHeight w:val="600"/>
        </w:trPr>
        <w:tc>
          <w:tcPr>
            <w:tcW w:w="2283" w:type="dxa"/>
            <w:shd w:val="clear" w:color="auto" w:fill="auto"/>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Entry: Pre Level 1 NQF/First Access</w:t>
            </w:r>
          </w:p>
        </w:tc>
        <w:tc>
          <w:tcPr>
            <w:tcW w:w="1203"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793074 (77%)</w:t>
            </w:r>
          </w:p>
        </w:tc>
        <w:tc>
          <w:tcPr>
            <w:tcW w:w="1207"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824639 (78%)</w:t>
            </w:r>
          </w:p>
        </w:tc>
        <w:tc>
          <w:tcPr>
            <w:tcW w:w="284" w:type="dxa"/>
          </w:tcPr>
          <w:p w:rsidR="00725229" w:rsidRPr="00A11D34" w:rsidRDefault="00725229" w:rsidP="004E13DB">
            <w:pPr>
              <w:spacing w:after="0" w:line="240" w:lineRule="auto"/>
              <w:rPr>
                <w:rFonts w:eastAsia="Times New Roman" w:cs="Times New Roman"/>
                <w:color w:val="000000"/>
                <w:sz w:val="20"/>
                <w:szCs w:val="20"/>
                <w:lang w:eastAsia="en-GB"/>
              </w:rPr>
            </w:pPr>
          </w:p>
        </w:tc>
        <w:tc>
          <w:tcPr>
            <w:tcW w:w="3685"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Entry: Pre Level 1 NQF/First Access</w:t>
            </w:r>
          </w:p>
        </w:tc>
        <w:tc>
          <w:tcPr>
            <w:tcW w:w="1276"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721578 (75%)</w:t>
            </w:r>
          </w:p>
        </w:tc>
      </w:tr>
      <w:tr w:rsidR="00725229" w:rsidRPr="00A11D34" w:rsidTr="00725229">
        <w:trPr>
          <w:trHeight w:val="300"/>
        </w:trPr>
        <w:tc>
          <w:tcPr>
            <w:tcW w:w="2283" w:type="dxa"/>
            <w:shd w:val="clear" w:color="auto" w:fill="auto"/>
            <w:noWrap/>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Foundation: Level 1 NQF/Grade 1-3</w:t>
            </w:r>
          </w:p>
        </w:tc>
        <w:tc>
          <w:tcPr>
            <w:tcW w:w="1203"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176329 (17%)</w:t>
            </w:r>
          </w:p>
        </w:tc>
        <w:tc>
          <w:tcPr>
            <w:tcW w:w="1207"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175060 (17%)</w:t>
            </w:r>
          </w:p>
        </w:tc>
        <w:tc>
          <w:tcPr>
            <w:tcW w:w="284" w:type="dxa"/>
          </w:tcPr>
          <w:p w:rsidR="00725229" w:rsidRPr="00A11D34" w:rsidRDefault="00725229" w:rsidP="004E13DB">
            <w:pPr>
              <w:spacing w:after="0" w:line="240" w:lineRule="auto"/>
              <w:rPr>
                <w:rFonts w:eastAsia="Times New Roman" w:cs="Times New Roman"/>
                <w:color w:val="000000"/>
                <w:sz w:val="20"/>
                <w:szCs w:val="20"/>
                <w:lang w:eastAsia="en-GB"/>
              </w:rPr>
            </w:pPr>
          </w:p>
        </w:tc>
        <w:tc>
          <w:tcPr>
            <w:tcW w:w="3685"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Foundation: Level 1 NQF/Grade 1-3</w:t>
            </w:r>
          </w:p>
        </w:tc>
        <w:tc>
          <w:tcPr>
            <w:tcW w:w="1276"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175600 (18%)</w:t>
            </w:r>
          </w:p>
        </w:tc>
      </w:tr>
      <w:tr w:rsidR="00725229" w:rsidRPr="00A11D34" w:rsidTr="00725229">
        <w:trPr>
          <w:trHeight w:val="300"/>
        </w:trPr>
        <w:tc>
          <w:tcPr>
            <w:tcW w:w="2283" w:type="dxa"/>
            <w:shd w:val="clear" w:color="auto" w:fill="auto"/>
            <w:noWrap/>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Intermediate: Level 2 NQF Grade 4-5</w:t>
            </w:r>
          </w:p>
        </w:tc>
        <w:tc>
          <w:tcPr>
            <w:tcW w:w="1203"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40787 (4%)</w:t>
            </w:r>
          </w:p>
        </w:tc>
        <w:tc>
          <w:tcPr>
            <w:tcW w:w="1207"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39293 (4%)</w:t>
            </w:r>
          </w:p>
        </w:tc>
        <w:tc>
          <w:tcPr>
            <w:tcW w:w="284" w:type="dxa"/>
          </w:tcPr>
          <w:p w:rsidR="00725229" w:rsidRPr="00A11D34" w:rsidRDefault="00725229" w:rsidP="004E13DB">
            <w:pPr>
              <w:spacing w:after="0" w:line="240" w:lineRule="auto"/>
              <w:rPr>
                <w:rFonts w:eastAsia="Times New Roman" w:cs="Times New Roman"/>
                <w:color w:val="000000"/>
                <w:sz w:val="20"/>
                <w:szCs w:val="20"/>
                <w:lang w:eastAsia="en-GB"/>
              </w:rPr>
            </w:pPr>
          </w:p>
        </w:tc>
        <w:tc>
          <w:tcPr>
            <w:tcW w:w="3685"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Intermediate: Level 2 NQF Grade 4-5</w:t>
            </w:r>
          </w:p>
        </w:tc>
        <w:tc>
          <w:tcPr>
            <w:tcW w:w="1276"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44407 (5%)</w:t>
            </w:r>
          </w:p>
        </w:tc>
      </w:tr>
      <w:tr w:rsidR="00725229" w:rsidRPr="00A11D34" w:rsidTr="00725229">
        <w:trPr>
          <w:trHeight w:val="300"/>
        </w:trPr>
        <w:tc>
          <w:tcPr>
            <w:tcW w:w="2283" w:type="dxa"/>
            <w:shd w:val="clear" w:color="auto" w:fill="auto"/>
            <w:noWrap/>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 xml:space="preserve">Advanced: Level 3 and </w:t>
            </w:r>
            <w:r w:rsidRPr="00A11D34">
              <w:rPr>
                <w:rFonts w:eastAsia="Times New Roman" w:cs="Times New Roman"/>
                <w:color w:val="000000"/>
                <w:sz w:val="20"/>
                <w:szCs w:val="20"/>
                <w:lang w:eastAsia="en-GB"/>
              </w:rPr>
              <w:lastRenderedPageBreak/>
              <w:t>above NQF Grade 6 and above</w:t>
            </w:r>
          </w:p>
        </w:tc>
        <w:tc>
          <w:tcPr>
            <w:tcW w:w="1203"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lastRenderedPageBreak/>
              <w:t>17203 (2%)</w:t>
            </w:r>
          </w:p>
        </w:tc>
        <w:tc>
          <w:tcPr>
            <w:tcW w:w="1207"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17517 (2%)</w:t>
            </w:r>
          </w:p>
        </w:tc>
        <w:tc>
          <w:tcPr>
            <w:tcW w:w="284" w:type="dxa"/>
          </w:tcPr>
          <w:p w:rsidR="00725229" w:rsidRPr="00A11D34" w:rsidRDefault="00725229" w:rsidP="004E13DB">
            <w:pPr>
              <w:spacing w:after="0" w:line="240" w:lineRule="auto"/>
              <w:rPr>
                <w:rFonts w:eastAsia="Times New Roman" w:cs="Times New Roman"/>
                <w:color w:val="000000"/>
                <w:sz w:val="20"/>
                <w:szCs w:val="20"/>
                <w:lang w:eastAsia="en-GB"/>
              </w:rPr>
            </w:pPr>
          </w:p>
        </w:tc>
        <w:tc>
          <w:tcPr>
            <w:tcW w:w="3685"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 xml:space="preserve">Advanced: Level 3 and above NQF Grade 6 </w:t>
            </w:r>
            <w:r w:rsidRPr="00A11D34">
              <w:rPr>
                <w:rFonts w:eastAsia="Times New Roman" w:cs="Times New Roman"/>
                <w:color w:val="000000"/>
                <w:sz w:val="20"/>
                <w:szCs w:val="20"/>
                <w:lang w:eastAsia="en-GB"/>
              </w:rPr>
              <w:lastRenderedPageBreak/>
              <w:t>and above</w:t>
            </w:r>
          </w:p>
        </w:tc>
        <w:tc>
          <w:tcPr>
            <w:tcW w:w="1276"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lastRenderedPageBreak/>
              <w:t>21047 (2%)</w:t>
            </w:r>
          </w:p>
        </w:tc>
      </w:tr>
      <w:tr w:rsidR="00725229" w:rsidRPr="00A11D34" w:rsidTr="00725229">
        <w:trPr>
          <w:trHeight w:val="300"/>
        </w:trPr>
        <w:tc>
          <w:tcPr>
            <w:tcW w:w="2283" w:type="dxa"/>
            <w:shd w:val="clear" w:color="auto" w:fill="auto"/>
            <w:noWrap/>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lastRenderedPageBreak/>
              <w:t>e) Total</w:t>
            </w:r>
          </w:p>
        </w:tc>
        <w:tc>
          <w:tcPr>
            <w:tcW w:w="1203"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1027393</w:t>
            </w:r>
          </w:p>
        </w:tc>
        <w:tc>
          <w:tcPr>
            <w:tcW w:w="1207"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1056509</w:t>
            </w:r>
          </w:p>
        </w:tc>
        <w:tc>
          <w:tcPr>
            <w:tcW w:w="284" w:type="dxa"/>
          </w:tcPr>
          <w:p w:rsidR="00725229" w:rsidRPr="00A11D34" w:rsidRDefault="00725229" w:rsidP="004E13DB">
            <w:pPr>
              <w:spacing w:after="0" w:line="240" w:lineRule="auto"/>
              <w:rPr>
                <w:rFonts w:eastAsia="Times New Roman" w:cs="Times New Roman"/>
                <w:color w:val="000000"/>
                <w:sz w:val="20"/>
                <w:szCs w:val="20"/>
                <w:lang w:eastAsia="en-GB"/>
              </w:rPr>
            </w:pPr>
          </w:p>
        </w:tc>
        <w:tc>
          <w:tcPr>
            <w:tcW w:w="3685"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e) Total</w:t>
            </w:r>
          </w:p>
        </w:tc>
        <w:tc>
          <w:tcPr>
            <w:tcW w:w="1276" w:type="dxa"/>
          </w:tcPr>
          <w:p w:rsidR="00725229" w:rsidRPr="00A11D34" w:rsidRDefault="00725229" w:rsidP="004E13DB">
            <w:pPr>
              <w:spacing w:after="0" w:line="240" w:lineRule="auto"/>
              <w:rPr>
                <w:rFonts w:eastAsia="Times New Roman" w:cs="Times New Roman"/>
                <w:color w:val="000000"/>
                <w:sz w:val="20"/>
                <w:szCs w:val="20"/>
                <w:lang w:eastAsia="en-GB"/>
              </w:rPr>
            </w:pPr>
            <w:r w:rsidRPr="00A11D34">
              <w:rPr>
                <w:rFonts w:eastAsia="Times New Roman" w:cs="Times New Roman"/>
                <w:color w:val="000000"/>
                <w:sz w:val="20"/>
                <w:szCs w:val="20"/>
                <w:lang w:eastAsia="en-GB"/>
              </w:rPr>
              <w:t>962632</w:t>
            </w:r>
          </w:p>
        </w:tc>
      </w:tr>
    </w:tbl>
    <w:p w:rsidR="00B1181E" w:rsidRDefault="00B1181E" w:rsidP="00B1181E">
      <w:pPr>
        <w:pStyle w:val="NoSpacing"/>
        <w:rPr>
          <w:b/>
        </w:rPr>
      </w:pPr>
    </w:p>
    <w:p w:rsidR="00A45435" w:rsidRDefault="00845EAB" w:rsidP="00B1181E">
      <w:pPr>
        <w:pStyle w:val="NoSpacing"/>
        <w:rPr>
          <w:b/>
          <w:u w:val="single"/>
        </w:rPr>
      </w:pPr>
      <w:r>
        <w:rPr>
          <w:b/>
          <w:u w:val="single"/>
        </w:rPr>
        <w:t>Ensembles</w:t>
      </w:r>
    </w:p>
    <w:p w:rsidR="00845EAB" w:rsidRDefault="00845EAB" w:rsidP="00B1181E">
      <w:pPr>
        <w:pStyle w:val="NoSpacing"/>
        <w:rPr>
          <w:b/>
          <w:u w:val="single"/>
        </w:rPr>
      </w:pPr>
    </w:p>
    <w:p w:rsidR="00845EAB" w:rsidRDefault="00845EAB" w:rsidP="00B1181E">
      <w:pPr>
        <w:pStyle w:val="NoSpacing"/>
      </w:pPr>
      <w:r>
        <w:t>Data relating to ensembles were collected in 2010/2011 for the first time. Each year this data has become more accurate with more schools contributing information. The num</w:t>
      </w:r>
      <w:r w:rsidR="004E13DB">
        <w:t>ber of ensembles by schools has</w:t>
      </w:r>
      <w:r>
        <w:t xml:space="preserve"> increased, but the numbers provided by others have decreased.</w:t>
      </w:r>
      <w:r w:rsidR="003E5021">
        <w:t xml:space="preserve"> </w:t>
      </w:r>
      <w:r w:rsidR="000A554E">
        <w:t>Overall, the total number of ensembles has increased as has t</w:t>
      </w:r>
      <w:r w:rsidR="003E5021">
        <w:t xml:space="preserve">he total number of pupils known to be attending </w:t>
      </w:r>
      <w:r w:rsidR="000A554E">
        <w:t>ensembles</w:t>
      </w:r>
      <w:r w:rsidR="003E5021">
        <w:t>.</w:t>
      </w:r>
      <w:r w:rsidR="00DC7C87">
        <w:t xml:space="preserve"> </w:t>
      </w:r>
    </w:p>
    <w:p w:rsidR="00DC7C87" w:rsidRDefault="00DC7C87" w:rsidP="00B1181E">
      <w:pPr>
        <w:pStyle w:val="NoSpacing"/>
      </w:pPr>
    </w:p>
    <w:p w:rsidR="00DC7C87" w:rsidRDefault="00DC7C87" w:rsidP="00B1181E">
      <w:pPr>
        <w:pStyle w:val="NoSpacing"/>
      </w:pPr>
      <w:r>
        <w:t>Data is now also collected in respect of gender and key stage. Overall there is a 6:4 ratio of girls to boys. There is only a slight variation across the key stages with 58% of those learning at key stage 1 being girls, rising to 61% for key stages 2 and 3, dropping to 60% at Key Stage 4 and to 58% at Key Stage 5.</w:t>
      </w:r>
    </w:p>
    <w:p w:rsidR="00D14058" w:rsidRDefault="00D14058" w:rsidP="00B1181E">
      <w:pPr>
        <w:pStyle w:val="NoSpacing"/>
      </w:pPr>
    </w:p>
    <w:p w:rsidR="00D14058" w:rsidRPr="00845EAB" w:rsidRDefault="000D4852" w:rsidP="00B1181E">
      <w:pPr>
        <w:pStyle w:val="NoSpacing"/>
      </w:pPr>
      <w:r>
        <w:t>A total of 1</w:t>
      </w:r>
      <w:r w:rsidR="00D06E97">
        <w:t>4.8</w:t>
      </w:r>
      <w:r>
        <w:t>% of children receive a subsidy t</w:t>
      </w:r>
      <w:r w:rsidR="00D06E97">
        <w:t>o assist with attendance and 7</w:t>
      </w:r>
      <w:r>
        <w:t>% of those who attend have Special Educational Needs.</w:t>
      </w:r>
    </w:p>
    <w:p w:rsidR="00A45435" w:rsidRDefault="00A45435" w:rsidP="00B1181E">
      <w:pPr>
        <w:pStyle w:val="NoSpacing"/>
        <w:rPr>
          <w:b/>
        </w:rPr>
      </w:pPr>
    </w:p>
    <w:p w:rsidR="0090664F" w:rsidRDefault="0090664F" w:rsidP="00B1181E">
      <w:pPr>
        <w:pStyle w:val="NoSpacing"/>
        <w:rPr>
          <w:b/>
        </w:rPr>
      </w:pPr>
      <w:r w:rsidRPr="00B1181E">
        <w:rPr>
          <w:b/>
        </w:rPr>
        <w:t>Table 4 Ensembles</w:t>
      </w:r>
    </w:p>
    <w:p w:rsidR="004E13DB" w:rsidRPr="00B1181E" w:rsidRDefault="004E13DB" w:rsidP="00B1181E">
      <w:pPr>
        <w:pStyle w:val="NoSpacing"/>
        <w:rPr>
          <w:b/>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203"/>
        <w:gridCol w:w="1207"/>
        <w:gridCol w:w="284"/>
        <w:gridCol w:w="3685"/>
        <w:gridCol w:w="1276"/>
      </w:tblGrid>
      <w:tr w:rsidR="00015196" w:rsidRPr="00F324F1" w:rsidTr="00015196">
        <w:trPr>
          <w:trHeight w:val="300"/>
        </w:trPr>
        <w:tc>
          <w:tcPr>
            <w:tcW w:w="4693" w:type="dxa"/>
            <w:gridSpan w:val="3"/>
            <w:shd w:val="clear" w:color="auto" w:fill="auto"/>
            <w:noWrap/>
          </w:tcPr>
          <w:p w:rsidR="00015196" w:rsidRPr="00EC26BD" w:rsidRDefault="00015196" w:rsidP="00725229">
            <w:pPr>
              <w:tabs>
                <w:tab w:val="right" w:pos="2704"/>
              </w:tabs>
              <w:spacing w:after="0" w:line="240" w:lineRule="auto"/>
              <w:jc w:val="center"/>
              <w:rPr>
                <w:rFonts w:eastAsia="Times New Roman" w:cs="Times New Roman"/>
                <w:b/>
                <w:color w:val="000000"/>
                <w:sz w:val="24"/>
                <w:szCs w:val="24"/>
                <w:lang w:eastAsia="en-GB"/>
              </w:rPr>
            </w:pPr>
            <w:r w:rsidRPr="00EC26BD">
              <w:rPr>
                <w:rFonts w:eastAsia="Times New Roman" w:cs="Times New Roman"/>
                <w:b/>
                <w:color w:val="000000"/>
                <w:sz w:val="24"/>
                <w:szCs w:val="24"/>
                <w:lang w:eastAsia="en-GB"/>
              </w:rPr>
              <w:t>Music Education Grant Survey</w:t>
            </w:r>
          </w:p>
        </w:tc>
        <w:tc>
          <w:tcPr>
            <w:tcW w:w="284" w:type="dxa"/>
          </w:tcPr>
          <w:p w:rsidR="00015196" w:rsidRPr="00EC26BD" w:rsidRDefault="00015196" w:rsidP="00725229">
            <w:pPr>
              <w:tabs>
                <w:tab w:val="right" w:pos="2704"/>
              </w:tabs>
              <w:spacing w:after="0" w:line="240" w:lineRule="auto"/>
              <w:jc w:val="center"/>
              <w:rPr>
                <w:rFonts w:eastAsia="Times New Roman" w:cs="Times New Roman"/>
                <w:b/>
                <w:color w:val="000000"/>
                <w:sz w:val="24"/>
                <w:szCs w:val="24"/>
                <w:lang w:eastAsia="en-GB"/>
              </w:rPr>
            </w:pPr>
          </w:p>
        </w:tc>
        <w:tc>
          <w:tcPr>
            <w:tcW w:w="4961" w:type="dxa"/>
            <w:gridSpan w:val="2"/>
          </w:tcPr>
          <w:p w:rsidR="00015196" w:rsidRPr="00A11D34" w:rsidRDefault="00015196" w:rsidP="00725229">
            <w:pPr>
              <w:tabs>
                <w:tab w:val="right" w:pos="2704"/>
              </w:tabs>
              <w:spacing w:after="0" w:line="240" w:lineRule="auto"/>
              <w:jc w:val="center"/>
              <w:rPr>
                <w:rFonts w:eastAsia="Times New Roman" w:cs="Times New Roman"/>
                <w:b/>
                <w:color w:val="000000"/>
                <w:sz w:val="20"/>
                <w:szCs w:val="20"/>
                <w:lang w:eastAsia="en-GB"/>
              </w:rPr>
            </w:pPr>
            <w:r w:rsidRPr="00EC26BD">
              <w:rPr>
                <w:rFonts w:eastAsia="Times New Roman" w:cs="Times New Roman"/>
                <w:b/>
                <w:color w:val="000000"/>
                <w:sz w:val="24"/>
                <w:szCs w:val="24"/>
                <w:lang w:eastAsia="en-GB"/>
              </w:rPr>
              <w:t>Key Data on Music Education Hubs</w:t>
            </w:r>
          </w:p>
        </w:tc>
      </w:tr>
      <w:tr w:rsidR="00015196" w:rsidRPr="00F324F1" w:rsidTr="00015196">
        <w:trPr>
          <w:trHeight w:val="300"/>
        </w:trPr>
        <w:tc>
          <w:tcPr>
            <w:tcW w:w="2283" w:type="dxa"/>
            <w:shd w:val="clear" w:color="auto" w:fill="auto"/>
            <w:noWrap/>
          </w:tcPr>
          <w:p w:rsidR="00015196" w:rsidRPr="00F133FC" w:rsidRDefault="00015196" w:rsidP="004E13DB">
            <w:pPr>
              <w:tabs>
                <w:tab w:val="right" w:pos="2704"/>
              </w:tabs>
              <w:spacing w:after="0" w:line="240" w:lineRule="auto"/>
              <w:rPr>
                <w:rFonts w:eastAsia="Times New Roman" w:cs="Times New Roman"/>
                <w:b/>
                <w:color w:val="000000"/>
                <w:sz w:val="20"/>
                <w:szCs w:val="20"/>
                <w:lang w:eastAsia="en-GB"/>
              </w:rPr>
            </w:pPr>
          </w:p>
        </w:tc>
        <w:tc>
          <w:tcPr>
            <w:tcW w:w="1203" w:type="dxa"/>
          </w:tcPr>
          <w:p w:rsidR="00015196" w:rsidRPr="00A11D34" w:rsidRDefault="00015196"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2010/2011</w:t>
            </w:r>
          </w:p>
        </w:tc>
        <w:tc>
          <w:tcPr>
            <w:tcW w:w="1207" w:type="dxa"/>
          </w:tcPr>
          <w:p w:rsidR="00015196" w:rsidRPr="00A11D34" w:rsidRDefault="00015196"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2011/2012</w:t>
            </w:r>
          </w:p>
        </w:tc>
        <w:tc>
          <w:tcPr>
            <w:tcW w:w="284" w:type="dxa"/>
          </w:tcPr>
          <w:p w:rsidR="00015196" w:rsidRPr="00A11D34" w:rsidRDefault="00015196" w:rsidP="004E13DB">
            <w:pPr>
              <w:tabs>
                <w:tab w:val="right" w:pos="2704"/>
              </w:tabs>
              <w:spacing w:after="0" w:line="240" w:lineRule="auto"/>
              <w:rPr>
                <w:rFonts w:eastAsia="Times New Roman" w:cs="Times New Roman"/>
                <w:b/>
                <w:color w:val="000000"/>
                <w:sz w:val="20"/>
                <w:szCs w:val="20"/>
                <w:lang w:eastAsia="en-GB"/>
              </w:rPr>
            </w:pPr>
          </w:p>
        </w:tc>
        <w:tc>
          <w:tcPr>
            <w:tcW w:w="3685" w:type="dxa"/>
          </w:tcPr>
          <w:p w:rsidR="00015196" w:rsidRPr="00A11D34" w:rsidRDefault="00015196" w:rsidP="004E13DB">
            <w:pPr>
              <w:tabs>
                <w:tab w:val="right" w:pos="2704"/>
              </w:tabs>
              <w:spacing w:after="0" w:line="240" w:lineRule="auto"/>
              <w:rPr>
                <w:rFonts w:eastAsia="Times New Roman" w:cs="Times New Roman"/>
                <w:b/>
                <w:color w:val="000000"/>
                <w:sz w:val="20"/>
                <w:szCs w:val="20"/>
                <w:lang w:eastAsia="en-GB"/>
              </w:rPr>
            </w:pPr>
          </w:p>
        </w:tc>
        <w:tc>
          <w:tcPr>
            <w:tcW w:w="1276" w:type="dxa"/>
          </w:tcPr>
          <w:p w:rsidR="00015196" w:rsidRPr="00A11D34" w:rsidRDefault="00015196" w:rsidP="004E13DB">
            <w:pPr>
              <w:tabs>
                <w:tab w:val="right" w:pos="2704"/>
              </w:tabs>
              <w:spacing w:after="0" w:line="240" w:lineRule="auto"/>
              <w:rPr>
                <w:rFonts w:eastAsia="Times New Roman" w:cs="Times New Roman"/>
                <w:b/>
                <w:color w:val="000000"/>
                <w:sz w:val="20"/>
                <w:szCs w:val="20"/>
                <w:lang w:eastAsia="en-GB"/>
              </w:rPr>
            </w:pPr>
            <w:r w:rsidRPr="00A11D34">
              <w:rPr>
                <w:rFonts w:eastAsia="Times New Roman" w:cs="Times New Roman"/>
                <w:b/>
                <w:color w:val="000000"/>
                <w:sz w:val="20"/>
                <w:szCs w:val="20"/>
                <w:lang w:eastAsia="en-GB"/>
              </w:rPr>
              <w:t>2012/2013</w:t>
            </w:r>
          </w:p>
        </w:tc>
      </w:tr>
      <w:tr w:rsidR="00015196" w:rsidRPr="00F324F1" w:rsidTr="00015196">
        <w:trPr>
          <w:trHeight w:val="300"/>
        </w:trPr>
        <w:tc>
          <w:tcPr>
            <w:tcW w:w="2283" w:type="dxa"/>
            <w:shd w:val="clear" w:color="auto" w:fill="auto"/>
            <w:noWrap/>
            <w:hideMark/>
          </w:tcPr>
          <w:p w:rsidR="00015196" w:rsidRPr="00F324F1" w:rsidRDefault="00015196" w:rsidP="004E13DB">
            <w:pPr>
              <w:spacing w:after="0" w:line="240" w:lineRule="auto"/>
              <w:rPr>
                <w:rFonts w:ascii="Calibri" w:eastAsia="Times New Roman" w:hAnsi="Calibri" w:cs="Times New Roman"/>
                <w:b/>
                <w:bCs/>
                <w:color w:val="000000"/>
                <w:lang w:eastAsia="en-GB"/>
              </w:rPr>
            </w:pPr>
          </w:p>
        </w:tc>
        <w:tc>
          <w:tcPr>
            <w:tcW w:w="1203" w:type="dxa"/>
          </w:tcPr>
          <w:p w:rsidR="00015196" w:rsidRPr="00F324F1" w:rsidRDefault="00015196" w:rsidP="004E13DB">
            <w:pPr>
              <w:spacing w:after="0" w:line="240" w:lineRule="auto"/>
              <w:rPr>
                <w:rFonts w:ascii="Calibri" w:eastAsia="Times New Roman" w:hAnsi="Calibri" w:cs="Times New Roman"/>
                <w:b/>
                <w:bCs/>
                <w:color w:val="000000"/>
                <w:lang w:eastAsia="en-GB"/>
              </w:rPr>
            </w:pPr>
          </w:p>
        </w:tc>
        <w:tc>
          <w:tcPr>
            <w:tcW w:w="1207" w:type="dxa"/>
          </w:tcPr>
          <w:p w:rsidR="00015196" w:rsidRPr="00F324F1" w:rsidRDefault="00015196" w:rsidP="004E13DB">
            <w:pPr>
              <w:spacing w:after="0" w:line="240" w:lineRule="auto"/>
              <w:rPr>
                <w:rFonts w:ascii="Calibri" w:eastAsia="Times New Roman" w:hAnsi="Calibri" w:cs="Times New Roman"/>
                <w:b/>
                <w:bCs/>
                <w:color w:val="000000"/>
                <w:lang w:eastAsia="en-GB"/>
              </w:rPr>
            </w:pPr>
          </w:p>
        </w:tc>
        <w:tc>
          <w:tcPr>
            <w:tcW w:w="284" w:type="dxa"/>
          </w:tcPr>
          <w:p w:rsidR="00015196" w:rsidRPr="00054C4F" w:rsidRDefault="00015196" w:rsidP="004E13DB">
            <w:pPr>
              <w:spacing w:after="0" w:line="240" w:lineRule="auto"/>
              <w:rPr>
                <w:rFonts w:ascii="Calibri" w:eastAsia="Times New Roman" w:hAnsi="Calibri" w:cs="Times New Roman"/>
                <w:b/>
                <w:color w:val="000000"/>
                <w:lang w:eastAsia="en-GB"/>
              </w:rPr>
            </w:pPr>
          </w:p>
        </w:tc>
        <w:tc>
          <w:tcPr>
            <w:tcW w:w="3685" w:type="dxa"/>
          </w:tcPr>
          <w:p w:rsidR="00015196" w:rsidRPr="00F324F1" w:rsidRDefault="00015196" w:rsidP="004E13DB">
            <w:pPr>
              <w:spacing w:after="0" w:line="240" w:lineRule="auto"/>
              <w:rPr>
                <w:rFonts w:ascii="Calibri" w:eastAsia="Times New Roman" w:hAnsi="Calibri" w:cs="Times New Roman"/>
                <w:b/>
                <w:bCs/>
                <w:color w:val="000000"/>
                <w:lang w:eastAsia="en-GB"/>
              </w:rPr>
            </w:pPr>
            <w:r w:rsidRPr="00054C4F">
              <w:rPr>
                <w:rFonts w:ascii="Calibri" w:eastAsia="Times New Roman" w:hAnsi="Calibri" w:cs="Times New Roman"/>
                <w:b/>
                <w:color w:val="000000"/>
                <w:lang w:eastAsia="en-GB"/>
              </w:rPr>
              <w:t>KPI4</w:t>
            </w:r>
            <w:r>
              <w:rPr>
                <w:rFonts w:ascii="Calibri" w:eastAsia="Times New Roman" w:hAnsi="Calibri" w:cs="Times New Roman"/>
                <w:color w:val="000000"/>
                <w:lang w:eastAsia="en-GB"/>
              </w:rPr>
              <w:t xml:space="preserve"> The number and percentage of pupils participating in school- or hub-led instrumental ensembles and choirs</w:t>
            </w:r>
          </w:p>
        </w:tc>
        <w:tc>
          <w:tcPr>
            <w:tcW w:w="1276" w:type="dxa"/>
          </w:tcPr>
          <w:p w:rsidR="00015196" w:rsidRPr="00F324F1" w:rsidRDefault="00015196" w:rsidP="004E13DB">
            <w:pPr>
              <w:spacing w:after="0" w:line="240" w:lineRule="auto"/>
              <w:rPr>
                <w:rFonts w:ascii="Calibri" w:eastAsia="Times New Roman" w:hAnsi="Calibri" w:cs="Times New Roman"/>
                <w:b/>
                <w:bCs/>
                <w:color w:val="000000"/>
                <w:lang w:eastAsia="en-GB"/>
              </w:rPr>
            </w:pPr>
          </w:p>
        </w:tc>
      </w:tr>
      <w:tr w:rsidR="00015196" w:rsidTr="00015196">
        <w:trPr>
          <w:trHeight w:val="1200"/>
        </w:trPr>
        <w:tc>
          <w:tcPr>
            <w:tcW w:w="2283" w:type="dxa"/>
            <w:shd w:val="clear" w:color="auto" w:fill="auto"/>
            <w:hideMark/>
          </w:tcPr>
          <w:p w:rsidR="00015196" w:rsidRPr="00F324F1" w:rsidRDefault="003E5021"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4 </w:t>
            </w:r>
            <w:r w:rsidR="00015196" w:rsidRPr="00F324F1">
              <w:rPr>
                <w:rFonts w:ascii="Calibri" w:eastAsia="Times New Roman" w:hAnsi="Calibri" w:cs="Times New Roman"/>
                <w:color w:val="000000"/>
                <w:lang w:eastAsia="en-GB"/>
              </w:rPr>
              <w:t xml:space="preserve">Number of Ensembles: (include all ensembles </w:t>
            </w:r>
            <w:r w:rsidR="00015196" w:rsidRPr="0090664F">
              <w:rPr>
                <w:rFonts w:ascii="Calibri" w:eastAsia="Times New Roman" w:hAnsi="Calibri" w:cs="Times New Roman"/>
                <w:b/>
                <w:i/>
                <w:color w:val="000000"/>
                <w:u w:val="single"/>
                <w:lang w:eastAsia="en-GB"/>
              </w:rPr>
              <w:t xml:space="preserve">not </w:t>
            </w:r>
            <w:r w:rsidR="00015196" w:rsidRPr="00F324F1">
              <w:rPr>
                <w:rFonts w:ascii="Calibri" w:eastAsia="Times New Roman" w:hAnsi="Calibri" w:cs="Times New Roman"/>
                <w:color w:val="000000"/>
                <w:lang w:eastAsia="en-GB"/>
              </w:rPr>
              <w:t>organised by a school or schools)</w:t>
            </w:r>
          </w:p>
        </w:tc>
        <w:tc>
          <w:tcPr>
            <w:tcW w:w="1203" w:type="dxa"/>
          </w:tcPr>
          <w:p w:rsidR="00015196"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19384</w:t>
            </w:r>
          </w:p>
        </w:tc>
        <w:tc>
          <w:tcPr>
            <w:tcW w:w="1207" w:type="dxa"/>
          </w:tcPr>
          <w:p w:rsidR="00015196"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22222</w:t>
            </w:r>
          </w:p>
        </w:tc>
        <w:tc>
          <w:tcPr>
            <w:tcW w:w="284"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3685" w:type="dxa"/>
          </w:tcPr>
          <w:p w:rsidR="00015196" w:rsidRPr="00F324F1" w:rsidRDefault="00DC7C87"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Ensembles organised by the hub lead organisation or by others in partnership with the hub lead organisation.</w:t>
            </w:r>
          </w:p>
        </w:tc>
        <w:tc>
          <w:tcPr>
            <w:tcW w:w="1276" w:type="dxa"/>
          </w:tcPr>
          <w:p w:rsidR="00015196" w:rsidRDefault="00DC7C87"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7194</w:t>
            </w:r>
          </w:p>
        </w:tc>
      </w:tr>
      <w:tr w:rsidR="00015196" w:rsidRPr="00F324F1" w:rsidTr="00015196">
        <w:trPr>
          <w:trHeight w:val="600"/>
        </w:trPr>
        <w:tc>
          <w:tcPr>
            <w:tcW w:w="2283" w:type="dxa"/>
            <w:shd w:val="clear" w:color="auto" w:fill="auto"/>
            <w:hideMark/>
          </w:tcPr>
          <w:p w:rsidR="00015196" w:rsidRPr="00F324F1" w:rsidRDefault="00015196" w:rsidP="004E13DB">
            <w:pPr>
              <w:spacing w:after="0" w:line="240" w:lineRule="auto"/>
              <w:rPr>
                <w:rFonts w:ascii="Calibri" w:eastAsia="Times New Roman" w:hAnsi="Calibri" w:cs="Times New Roman"/>
                <w:color w:val="000000"/>
                <w:lang w:eastAsia="en-GB"/>
              </w:rPr>
            </w:pPr>
            <w:r w:rsidRPr="00F324F1">
              <w:rPr>
                <w:rFonts w:ascii="Calibri" w:eastAsia="Times New Roman" w:hAnsi="Calibri" w:cs="Times New Roman"/>
                <w:color w:val="000000"/>
                <w:lang w:eastAsia="en-GB"/>
              </w:rPr>
              <w:t>P</w:t>
            </w:r>
            <w:r w:rsidR="003E5021">
              <w:rPr>
                <w:rFonts w:ascii="Calibri" w:eastAsia="Times New Roman" w:hAnsi="Calibri" w:cs="Times New Roman"/>
                <w:color w:val="000000"/>
                <w:lang w:eastAsia="en-GB"/>
              </w:rPr>
              <w:t>upils attending Ensembles in 4 above</w:t>
            </w:r>
          </w:p>
        </w:tc>
        <w:tc>
          <w:tcPr>
            <w:tcW w:w="1203"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270117</w:t>
            </w:r>
          </w:p>
        </w:tc>
        <w:tc>
          <w:tcPr>
            <w:tcW w:w="1207"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289031</w:t>
            </w:r>
          </w:p>
        </w:tc>
        <w:tc>
          <w:tcPr>
            <w:tcW w:w="284"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3685"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1276" w:type="dxa"/>
          </w:tcPr>
          <w:p w:rsidR="00015196" w:rsidRPr="00F324F1" w:rsidRDefault="00015196" w:rsidP="004E13DB">
            <w:pPr>
              <w:spacing w:after="0" w:line="240" w:lineRule="auto"/>
              <w:rPr>
                <w:rFonts w:ascii="Calibri" w:eastAsia="Times New Roman" w:hAnsi="Calibri" w:cs="Times New Roman"/>
                <w:color w:val="000000"/>
                <w:lang w:eastAsia="en-GB"/>
              </w:rPr>
            </w:pPr>
          </w:p>
        </w:tc>
      </w:tr>
      <w:tr w:rsidR="00015196" w:rsidRPr="00F324F1" w:rsidTr="00015196">
        <w:trPr>
          <w:trHeight w:val="900"/>
        </w:trPr>
        <w:tc>
          <w:tcPr>
            <w:tcW w:w="2283" w:type="dxa"/>
            <w:shd w:val="clear" w:color="auto" w:fill="auto"/>
            <w:hideMark/>
          </w:tcPr>
          <w:p w:rsidR="00015196" w:rsidRPr="00F324F1" w:rsidRDefault="000A554E"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4.1 </w:t>
            </w:r>
            <w:r w:rsidR="00015196" w:rsidRPr="00F324F1">
              <w:rPr>
                <w:rFonts w:ascii="Calibri" w:eastAsia="Times New Roman" w:hAnsi="Calibri" w:cs="Times New Roman"/>
                <w:color w:val="000000"/>
                <w:lang w:eastAsia="en-GB"/>
              </w:rPr>
              <w:t>Oth</w:t>
            </w:r>
            <w:r w:rsidR="003E5021">
              <w:rPr>
                <w:rFonts w:ascii="Calibri" w:eastAsia="Times New Roman" w:hAnsi="Calibri" w:cs="Times New Roman"/>
                <w:color w:val="000000"/>
                <w:lang w:eastAsia="en-GB"/>
              </w:rPr>
              <w:t>er ensembles not included in 4</w:t>
            </w:r>
            <w:r w:rsidR="00015196" w:rsidRPr="00F324F1">
              <w:rPr>
                <w:rFonts w:ascii="Calibri" w:eastAsia="Times New Roman" w:hAnsi="Calibri" w:cs="Times New Roman"/>
                <w:color w:val="000000"/>
                <w:lang w:eastAsia="en-GB"/>
              </w:rPr>
              <w:t xml:space="preserve"> above (if known)</w:t>
            </w:r>
          </w:p>
        </w:tc>
        <w:tc>
          <w:tcPr>
            <w:tcW w:w="1203" w:type="dxa"/>
          </w:tcPr>
          <w:p w:rsidR="00015196" w:rsidRDefault="00015196" w:rsidP="00E3410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9788 </w:t>
            </w:r>
          </w:p>
        </w:tc>
        <w:tc>
          <w:tcPr>
            <w:tcW w:w="1207"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21366</w:t>
            </w:r>
          </w:p>
        </w:tc>
        <w:tc>
          <w:tcPr>
            <w:tcW w:w="284"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3685" w:type="dxa"/>
          </w:tcPr>
          <w:p w:rsidR="00015196" w:rsidRPr="00F324F1" w:rsidRDefault="00DC7C87"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Ensembles organised by schools alone or in partnership with the hub</w:t>
            </w:r>
          </w:p>
        </w:tc>
        <w:tc>
          <w:tcPr>
            <w:tcW w:w="1276" w:type="dxa"/>
          </w:tcPr>
          <w:p w:rsidR="00015196" w:rsidRPr="00F324F1" w:rsidRDefault="00DC7C87"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37835</w:t>
            </w:r>
          </w:p>
        </w:tc>
      </w:tr>
      <w:tr w:rsidR="00015196" w:rsidRPr="00F324F1" w:rsidTr="00015196">
        <w:trPr>
          <w:trHeight w:val="600"/>
        </w:trPr>
        <w:tc>
          <w:tcPr>
            <w:tcW w:w="2283" w:type="dxa"/>
            <w:shd w:val="clear" w:color="auto" w:fill="auto"/>
            <w:hideMark/>
          </w:tcPr>
          <w:p w:rsidR="00015196" w:rsidRPr="00F324F1" w:rsidRDefault="00015196" w:rsidP="004E13DB">
            <w:pPr>
              <w:spacing w:after="0" w:line="240" w:lineRule="auto"/>
              <w:rPr>
                <w:rFonts w:ascii="Calibri" w:eastAsia="Times New Roman" w:hAnsi="Calibri" w:cs="Times New Roman"/>
                <w:color w:val="000000"/>
                <w:lang w:eastAsia="en-GB"/>
              </w:rPr>
            </w:pPr>
            <w:r w:rsidRPr="00F324F1">
              <w:rPr>
                <w:rFonts w:ascii="Calibri" w:eastAsia="Times New Roman" w:hAnsi="Calibri" w:cs="Times New Roman"/>
                <w:color w:val="000000"/>
                <w:lang w:eastAsia="en-GB"/>
              </w:rPr>
              <w:t>P</w:t>
            </w:r>
            <w:r w:rsidR="000A554E">
              <w:rPr>
                <w:rFonts w:ascii="Calibri" w:eastAsia="Times New Roman" w:hAnsi="Calibri" w:cs="Times New Roman"/>
                <w:color w:val="000000"/>
                <w:lang w:eastAsia="en-GB"/>
              </w:rPr>
              <w:t>upils attending ensembles in 4.1</w:t>
            </w:r>
            <w:r w:rsidRPr="00F324F1">
              <w:rPr>
                <w:rFonts w:ascii="Calibri" w:eastAsia="Times New Roman" w:hAnsi="Calibri" w:cs="Times New Roman"/>
                <w:color w:val="000000"/>
                <w:lang w:eastAsia="en-GB"/>
              </w:rPr>
              <w:t xml:space="preserve"> (if known)</w:t>
            </w:r>
          </w:p>
        </w:tc>
        <w:tc>
          <w:tcPr>
            <w:tcW w:w="1203"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177637</w:t>
            </w:r>
          </w:p>
        </w:tc>
        <w:tc>
          <w:tcPr>
            <w:tcW w:w="1207"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244639</w:t>
            </w:r>
          </w:p>
        </w:tc>
        <w:tc>
          <w:tcPr>
            <w:tcW w:w="284"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3685"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1276" w:type="dxa"/>
          </w:tcPr>
          <w:p w:rsidR="00015196" w:rsidRPr="00F324F1" w:rsidRDefault="00015196" w:rsidP="004E13DB">
            <w:pPr>
              <w:spacing w:after="0" w:line="240" w:lineRule="auto"/>
              <w:rPr>
                <w:rFonts w:ascii="Calibri" w:eastAsia="Times New Roman" w:hAnsi="Calibri" w:cs="Times New Roman"/>
                <w:color w:val="000000"/>
                <w:lang w:eastAsia="en-GB"/>
              </w:rPr>
            </w:pPr>
          </w:p>
        </w:tc>
      </w:tr>
      <w:tr w:rsidR="00015196" w:rsidRPr="00F324F1" w:rsidTr="00015196">
        <w:trPr>
          <w:trHeight w:val="300"/>
        </w:trPr>
        <w:tc>
          <w:tcPr>
            <w:tcW w:w="2283" w:type="dxa"/>
            <w:shd w:val="clear" w:color="auto" w:fill="auto"/>
            <w:noWrap/>
            <w:hideMark/>
          </w:tcPr>
          <w:p w:rsidR="00015196" w:rsidRPr="00F324F1" w:rsidRDefault="00015196" w:rsidP="004E13DB">
            <w:pPr>
              <w:spacing w:after="0" w:line="240" w:lineRule="auto"/>
              <w:rPr>
                <w:rFonts w:ascii="Calibri" w:eastAsia="Times New Roman" w:hAnsi="Calibri" w:cs="Times New Roman"/>
                <w:color w:val="000000"/>
                <w:lang w:eastAsia="en-GB"/>
              </w:rPr>
            </w:pPr>
            <w:r w:rsidRPr="00F324F1">
              <w:rPr>
                <w:rFonts w:ascii="Calibri" w:eastAsia="Times New Roman" w:hAnsi="Calibri" w:cs="Times New Roman"/>
                <w:color w:val="000000"/>
                <w:lang w:eastAsia="en-GB"/>
              </w:rPr>
              <w:t>Total Ensembles</w:t>
            </w:r>
          </w:p>
        </w:tc>
        <w:tc>
          <w:tcPr>
            <w:tcW w:w="1203"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29172</w:t>
            </w:r>
          </w:p>
        </w:tc>
        <w:tc>
          <w:tcPr>
            <w:tcW w:w="1207"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43588</w:t>
            </w:r>
          </w:p>
        </w:tc>
        <w:tc>
          <w:tcPr>
            <w:tcW w:w="284"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3685" w:type="dxa"/>
          </w:tcPr>
          <w:p w:rsidR="00015196" w:rsidRPr="00F324F1" w:rsidRDefault="00F87BBB"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Total Ensembles</w:t>
            </w:r>
          </w:p>
        </w:tc>
        <w:tc>
          <w:tcPr>
            <w:tcW w:w="1276" w:type="dxa"/>
          </w:tcPr>
          <w:p w:rsidR="00015196" w:rsidRPr="00F324F1" w:rsidRDefault="000A554E"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45029</w:t>
            </w:r>
          </w:p>
        </w:tc>
      </w:tr>
      <w:tr w:rsidR="00015196" w:rsidRPr="00F324F1" w:rsidTr="00015196">
        <w:trPr>
          <w:trHeight w:val="300"/>
        </w:trPr>
        <w:tc>
          <w:tcPr>
            <w:tcW w:w="2283" w:type="dxa"/>
            <w:shd w:val="clear" w:color="auto" w:fill="auto"/>
            <w:noWrap/>
            <w:hideMark/>
          </w:tcPr>
          <w:p w:rsidR="00015196" w:rsidRPr="00F324F1" w:rsidRDefault="00015196" w:rsidP="004E13DB">
            <w:pPr>
              <w:spacing w:after="0" w:line="240" w:lineRule="auto"/>
              <w:rPr>
                <w:rFonts w:ascii="Calibri" w:eastAsia="Times New Roman" w:hAnsi="Calibri" w:cs="Times New Roman"/>
                <w:color w:val="000000"/>
                <w:lang w:eastAsia="en-GB"/>
              </w:rPr>
            </w:pPr>
            <w:r w:rsidRPr="00F324F1">
              <w:rPr>
                <w:rFonts w:ascii="Calibri" w:eastAsia="Times New Roman" w:hAnsi="Calibri" w:cs="Times New Roman"/>
                <w:color w:val="000000"/>
                <w:lang w:eastAsia="en-GB"/>
              </w:rPr>
              <w:t>Total Pupils (if known)</w:t>
            </w:r>
          </w:p>
        </w:tc>
        <w:tc>
          <w:tcPr>
            <w:tcW w:w="1203"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447754</w:t>
            </w:r>
          </w:p>
        </w:tc>
        <w:tc>
          <w:tcPr>
            <w:tcW w:w="1207"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533670</w:t>
            </w:r>
          </w:p>
        </w:tc>
        <w:tc>
          <w:tcPr>
            <w:tcW w:w="284"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3685" w:type="dxa"/>
          </w:tcPr>
          <w:p w:rsidR="00015196" w:rsidRPr="00F324F1" w:rsidRDefault="00F87BBB"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Total Pupils</w:t>
            </w:r>
          </w:p>
        </w:tc>
        <w:tc>
          <w:tcPr>
            <w:tcW w:w="1276" w:type="dxa"/>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618952</w:t>
            </w:r>
          </w:p>
        </w:tc>
      </w:tr>
      <w:tr w:rsidR="00015196" w:rsidRPr="00F324F1" w:rsidTr="00015196">
        <w:trPr>
          <w:trHeight w:val="300"/>
        </w:trPr>
        <w:tc>
          <w:tcPr>
            <w:tcW w:w="2283" w:type="dxa"/>
            <w:shd w:val="clear" w:color="auto" w:fill="auto"/>
            <w:noWrap/>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1203"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1207"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284"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3685"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1276" w:type="dxa"/>
          </w:tcPr>
          <w:p w:rsidR="00015196" w:rsidRPr="00F324F1" w:rsidRDefault="00015196" w:rsidP="004E13DB">
            <w:pPr>
              <w:spacing w:after="0" w:line="240" w:lineRule="auto"/>
              <w:rPr>
                <w:rFonts w:ascii="Calibri" w:eastAsia="Times New Roman" w:hAnsi="Calibri" w:cs="Times New Roman"/>
                <w:color w:val="000000"/>
                <w:lang w:eastAsia="en-GB"/>
              </w:rPr>
            </w:pPr>
          </w:p>
        </w:tc>
      </w:tr>
      <w:tr w:rsidR="00015196" w:rsidRPr="00F324F1" w:rsidTr="00015196">
        <w:trPr>
          <w:trHeight w:val="300"/>
        </w:trPr>
        <w:tc>
          <w:tcPr>
            <w:tcW w:w="2283" w:type="dxa"/>
            <w:shd w:val="clear" w:color="auto" w:fill="auto"/>
            <w:noWrap/>
          </w:tcPr>
          <w:p w:rsidR="00015196" w:rsidRPr="006E6C2A" w:rsidRDefault="00015196" w:rsidP="004E13DB">
            <w:pPr>
              <w:spacing w:after="0" w:line="240" w:lineRule="auto"/>
              <w:rPr>
                <w:rFonts w:ascii="Calibri" w:eastAsia="Times New Roman" w:hAnsi="Calibri" w:cs="Times New Roman"/>
                <w:b/>
                <w:color w:val="000000"/>
                <w:lang w:eastAsia="en-GB"/>
              </w:rPr>
            </w:pPr>
            <w:r w:rsidRPr="006E6C2A">
              <w:rPr>
                <w:rFonts w:ascii="Calibri" w:eastAsia="Times New Roman" w:hAnsi="Calibri" w:cs="Times New Roman"/>
                <w:b/>
                <w:color w:val="000000"/>
                <w:lang w:eastAsia="en-GB"/>
              </w:rPr>
              <w:t>Singing</w:t>
            </w:r>
          </w:p>
        </w:tc>
        <w:tc>
          <w:tcPr>
            <w:tcW w:w="1203"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1207" w:type="dxa"/>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284" w:type="dxa"/>
          </w:tcPr>
          <w:p w:rsidR="00015196" w:rsidRPr="00054C4F" w:rsidRDefault="00015196" w:rsidP="004E13DB">
            <w:pPr>
              <w:spacing w:after="0" w:line="240" w:lineRule="auto"/>
              <w:rPr>
                <w:rFonts w:ascii="Calibri" w:eastAsia="Times New Roman" w:hAnsi="Calibri" w:cs="Times New Roman"/>
                <w:b/>
                <w:color w:val="000000"/>
                <w:lang w:eastAsia="en-GB"/>
              </w:rPr>
            </w:pPr>
          </w:p>
        </w:tc>
        <w:tc>
          <w:tcPr>
            <w:tcW w:w="3685" w:type="dxa"/>
          </w:tcPr>
          <w:p w:rsidR="00015196" w:rsidRPr="00F324F1" w:rsidRDefault="00015196" w:rsidP="004E13DB">
            <w:pPr>
              <w:spacing w:after="0" w:line="240" w:lineRule="auto"/>
              <w:rPr>
                <w:rFonts w:ascii="Calibri" w:eastAsia="Times New Roman" w:hAnsi="Calibri" w:cs="Times New Roman"/>
                <w:color w:val="000000"/>
                <w:lang w:eastAsia="en-GB"/>
              </w:rPr>
            </w:pPr>
            <w:r w:rsidRPr="00054C4F">
              <w:rPr>
                <w:rFonts w:ascii="Calibri" w:eastAsia="Times New Roman" w:hAnsi="Calibri" w:cs="Times New Roman"/>
                <w:b/>
                <w:color w:val="000000"/>
                <w:lang w:eastAsia="en-GB"/>
              </w:rPr>
              <w:t>KPI5</w:t>
            </w:r>
            <w:r>
              <w:rPr>
                <w:rFonts w:ascii="Calibri" w:eastAsia="Times New Roman" w:hAnsi="Calibri" w:cs="Times New Roman"/>
                <w:color w:val="000000"/>
                <w:lang w:eastAsia="en-GB"/>
              </w:rPr>
              <w:t xml:space="preserve"> The number and percentage of pupils who sing regularly in school- or hub-led ensembles</w:t>
            </w:r>
          </w:p>
        </w:tc>
        <w:tc>
          <w:tcPr>
            <w:tcW w:w="1276" w:type="dxa"/>
          </w:tcPr>
          <w:p w:rsidR="00015196" w:rsidRPr="00F324F1" w:rsidRDefault="00015196" w:rsidP="004E13DB">
            <w:pPr>
              <w:spacing w:after="0" w:line="240" w:lineRule="auto"/>
              <w:rPr>
                <w:rFonts w:ascii="Calibri" w:eastAsia="Times New Roman" w:hAnsi="Calibri" w:cs="Times New Roman"/>
                <w:color w:val="000000"/>
                <w:lang w:eastAsia="en-GB"/>
              </w:rPr>
            </w:pPr>
          </w:p>
        </w:tc>
      </w:tr>
      <w:tr w:rsidR="00015196" w:rsidTr="00015196">
        <w:trPr>
          <w:trHeight w:val="300"/>
        </w:trPr>
        <w:tc>
          <w:tcPr>
            <w:tcW w:w="2283" w:type="dxa"/>
            <w:shd w:val="clear" w:color="auto" w:fill="auto"/>
            <w:noWrap/>
          </w:tcPr>
          <w:p w:rsidR="00015196" w:rsidRPr="00F324F1" w:rsidRDefault="00015196" w:rsidP="004E13DB">
            <w:pPr>
              <w:spacing w:after="0" w:line="240" w:lineRule="auto"/>
              <w:rPr>
                <w:rFonts w:ascii="Calibri" w:eastAsia="Times New Roman" w:hAnsi="Calibri" w:cs="Times New Roman"/>
                <w:color w:val="000000"/>
                <w:lang w:eastAsia="en-GB"/>
              </w:rPr>
            </w:pPr>
          </w:p>
        </w:tc>
        <w:tc>
          <w:tcPr>
            <w:tcW w:w="2410" w:type="dxa"/>
            <w:gridSpan w:val="2"/>
          </w:tcPr>
          <w:p w:rsidR="00015196"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 separate data collected</w:t>
            </w:r>
          </w:p>
        </w:tc>
        <w:tc>
          <w:tcPr>
            <w:tcW w:w="284" w:type="dxa"/>
          </w:tcPr>
          <w:p w:rsidR="00015196" w:rsidRDefault="00015196" w:rsidP="004E13DB">
            <w:pPr>
              <w:spacing w:after="0" w:line="240" w:lineRule="auto"/>
              <w:rPr>
                <w:rFonts w:ascii="Calibri" w:eastAsia="Times New Roman" w:hAnsi="Calibri" w:cs="Times New Roman"/>
                <w:color w:val="000000"/>
                <w:lang w:eastAsia="en-GB"/>
              </w:rPr>
            </w:pPr>
          </w:p>
        </w:tc>
        <w:tc>
          <w:tcPr>
            <w:tcW w:w="4961" w:type="dxa"/>
            <w:gridSpan w:val="2"/>
          </w:tcPr>
          <w:p w:rsidR="00015196" w:rsidRPr="00F324F1"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This precise question was not included in the survey.</w:t>
            </w:r>
          </w:p>
          <w:p w:rsidR="00015196"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Hubs supported 9014 (62.4%) primary schools a</w:t>
            </w:r>
            <w:r w:rsidR="002878B8">
              <w:rPr>
                <w:rFonts w:ascii="Calibri" w:eastAsia="Times New Roman" w:hAnsi="Calibri" w:cs="Times New Roman"/>
                <w:color w:val="000000"/>
                <w:lang w:eastAsia="en-GB"/>
              </w:rPr>
              <w:t>nd 1576 (51%) secondary schools with singing strategies.</w:t>
            </w:r>
          </w:p>
          <w:p w:rsidR="00015196" w:rsidRDefault="00015196" w:rsidP="004E13D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14770 school choirs were organised and delivered by hubs and their partner schools.</w:t>
            </w:r>
          </w:p>
        </w:tc>
      </w:tr>
    </w:tbl>
    <w:p w:rsidR="00B1181E" w:rsidRDefault="00B1181E" w:rsidP="00B1181E">
      <w:pPr>
        <w:pStyle w:val="NoSpacing"/>
        <w:rPr>
          <w:b/>
        </w:rPr>
      </w:pPr>
    </w:p>
    <w:p w:rsidR="00F133FC" w:rsidRDefault="00F133FC" w:rsidP="00F133FC"/>
    <w:p w:rsidR="00F133FC" w:rsidRPr="00120F2A" w:rsidRDefault="00156C06" w:rsidP="00FC233F">
      <w:pPr>
        <w:rPr>
          <w:b/>
          <w:sz w:val="24"/>
          <w:szCs w:val="24"/>
          <w:u w:val="single"/>
        </w:rPr>
      </w:pPr>
      <w:r w:rsidRPr="00120F2A">
        <w:rPr>
          <w:b/>
          <w:sz w:val="24"/>
          <w:szCs w:val="24"/>
          <w:u w:val="single"/>
        </w:rPr>
        <w:t>Questionnaire responses</w:t>
      </w:r>
    </w:p>
    <w:p w:rsidR="0040642A" w:rsidRPr="00361F94" w:rsidRDefault="0072229A" w:rsidP="00361F94">
      <w:pPr>
        <w:rPr>
          <w:rFonts w:cs="Arial"/>
        </w:rPr>
      </w:pPr>
      <w:r>
        <w:rPr>
          <w:rFonts w:cs="Arial"/>
        </w:rPr>
        <w:t>Eighty</w:t>
      </w:r>
      <w:r w:rsidR="00361F94">
        <w:rPr>
          <w:rFonts w:cs="Arial"/>
        </w:rPr>
        <w:t xml:space="preserve"> m</w:t>
      </w:r>
      <w:r w:rsidR="005D03F3">
        <w:rPr>
          <w:rFonts w:cs="Arial"/>
        </w:rPr>
        <w:t xml:space="preserve">usic services </w:t>
      </w:r>
      <w:r w:rsidR="00361F94" w:rsidRPr="00361F94">
        <w:rPr>
          <w:rFonts w:cs="Arial"/>
        </w:rPr>
        <w:t>responded</w:t>
      </w:r>
      <w:r w:rsidR="005D03F3">
        <w:rPr>
          <w:rFonts w:cs="Arial"/>
        </w:rPr>
        <w:t xml:space="preserve"> to a series of questions via Survey Monkey.</w:t>
      </w:r>
    </w:p>
    <w:p w:rsidR="005D03F3" w:rsidRDefault="00AD303E" w:rsidP="00383DE3">
      <w:pPr>
        <w:pStyle w:val="NoSpacing"/>
      </w:pPr>
      <w:r>
        <w:t>In response to the question “</w:t>
      </w:r>
      <w:r w:rsidR="0040642A" w:rsidRPr="0040642A">
        <w:t>Following First Access programmes, are you able to provide available and affordable clear progression routes for all who wish to continue?</w:t>
      </w:r>
      <w:r>
        <w:t>”</w:t>
      </w:r>
      <w:r w:rsidR="0040642A">
        <w:t xml:space="preserve"> </w:t>
      </w:r>
      <w:r>
        <w:t>t</w:t>
      </w:r>
      <w:r>
        <w:rPr>
          <w:rFonts w:cs="Arial"/>
        </w:rPr>
        <w:t>hree out of four</w:t>
      </w:r>
      <w:r w:rsidR="00FC233F">
        <w:rPr>
          <w:rFonts w:cs="Arial"/>
        </w:rPr>
        <w:t xml:space="preserve"> hub leaders</w:t>
      </w:r>
      <w:r>
        <w:rPr>
          <w:rFonts w:cs="Arial"/>
        </w:rPr>
        <w:t xml:space="preserve"> reported that available and affordable clear progression routes were being provided. One in five was not able to pro</w:t>
      </w:r>
      <w:r w:rsidR="00FF55B4">
        <w:rPr>
          <w:rFonts w:cs="Arial"/>
        </w:rPr>
        <w:t>vide these opportunities and 2.6</w:t>
      </w:r>
      <w:r>
        <w:rPr>
          <w:rFonts w:cs="Arial"/>
        </w:rPr>
        <w:t>% didn’t know.</w:t>
      </w:r>
      <w:r w:rsidR="005D03F3">
        <w:rPr>
          <w:rFonts w:cs="Arial"/>
        </w:rPr>
        <w:t xml:space="preserve"> </w:t>
      </w:r>
      <w:r w:rsidR="005D03F3">
        <w:t>(See Figure 1).</w:t>
      </w:r>
    </w:p>
    <w:p w:rsidR="00383DE3" w:rsidRPr="00383DE3" w:rsidRDefault="00383DE3" w:rsidP="00383DE3">
      <w:pPr>
        <w:pStyle w:val="NoSpacing"/>
        <w:rPr>
          <w:rFonts w:cs="Arial"/>
        </w:rPr>
      </w:pPr>
    </w:p>
    <w:p w:rsidR="0040642A" w:rsidRPr="00946AB2" w:rsidRDefault="0040642A" w:rsidP="0040642A">
      <w:pPr>
        <w:rPr>
          <w:rFonts w:cs="Arial"/>
          <w:i/>
        </w:rPr>
      </w:pPr>
      <w:r w:rsidRPr="00946AB2">
        <w:rPr>
          <w:rFonts w:cs="Arial"/>
          <w:i/>
        </w:rPr>
        <w:t>Figure 1</w:t>
      </w:r>
    </w:p>
    <w:p w:rsidR="0040642A" w:rsidRDefault="008F6881" w:rsidP="0040642A">
      <w:pPr>
        <w:rPr>
          <w:rFonts w:cs="Arial"/>
        </w:rPr>
      </w:pPr>
      <w:r>
        <w:rPr>
          <w:noProof/>
          <w:lang w:eastAsia="en-GB"/>
        </w:rPr>
        <w:t xml:space="preserve"> </w:t>
      </w:r>
      <w:r>
        <w:rPr>
          <w:noProof/>
          <w:lang w:eastAsia="en-GB"/>
        </w:rPr>
        <w:drawing>
          <wp:inline distT="0" distB="0" distL="0" distR="0" wp14:anchorId="1557B4DE" wp14:editId="60C26FD4">
            <wp:extent cx="5486400" cy="32385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55B4" w:rsidRDefault="00FF55B4" w:rsidP="005D03F3">
      <w:pPr>
        <w:rPr>
          <w:rFonts w:cs="Arial"/>
        </w:rPr>
      </w:pPr>
    </w:p>
    <w:p w:rsidR="0040642A" w:rsidRPr="005D03F3" w:rsidRDefault="005D03F3" w:rsidP="005D03F3">
      <w:r>
        <w:rPr>
          <w:rFonts w:cs="Arial"/>
        </w:rPr>
        <w:t>The question: “</w:t>
      </w:r>
      <w:r w:rsidR="0040642A" w:rsidRPr="005D03F3">
        <w:rPr>
          <w:rFonts w:cs="Arial"/>
        </w:rPr>
        <w:t>For all existing young people who learn through your music service and who wish to continue, are you able to provide available and affordable clear progression routes?</w:t>
      </w:r>
      <w:r>
        <w:rPr>
          <w:rFonts w:cs="Arial"/>
        </w:rPr>
        <w:t xml:space="preserve">” showed that </w:t>
      </w:r>
      <w:r w:rsidR="00F87D9B">
        <w:t>four</w:t>
      </w:r>
      <w:r>
        <w:t xml:space="preserve"> in five respondents were able to provide available and affordable clear progression routes for existing learners. </w:t>
      </w:r>
      <w:r w:rsidR="00FF55B4">
        <w:t>One in seven</w:t>
      </w:r>
      <w:r w:rsidR="0064452A">
        <w:t xml:space="preserve"> was</w:t>
      </w:r>
      <w:r w:rsidR="00FF55B4">
        <w:t xml:space="preserve"> not able to do this. 3.9</w:t>
      </w:r>
      <w:r>
        <w:t>% didn’t know.</w:t>
      </w:r>
      <w:r w:rsidR="00D06329" w:rsidRPr="005D03F3">
        <w:rPr>
          <w:rFonts w:cs="Arial"/>
        </w:rPr>
        <w:t xml:space="preserve"> </w:t>
      </w:r>
      <w:r>
        <w:rPr>
          <w:rFonts w:cs="Arial"/>
        </w:rPr>
        <w:t xml:space="preserve">(See </w:t>
      </w:r>
      <w:r w:rsidR="00D06329" w:rsidRPr="005D03F3">
        <w:rPr>
          <w:rFonts w:cs="Arial"/>
        </w:rPr>
        <w:t>Figure 2).</w:t>
      </w:r>
    </w:p>
    <w:p w:rsidR="00FF55B4" w:rsidRDefault="00FF55B4" w:rsidP="00E87ACB">
      <w:pPr>
        <w:rPr>
          <w:rFonts w:cs="Arial"/>
          <w:i/>
        </w:rPr>
      </w:pPr>
    </w:p>
    <w:p w:rsidR="00FF55B4" w:rsidRDefault="00FF55B4" w:rsidP="00E87ACB">
      <w:pPr>
        <w:rPr>
          <w:rFonts w:cs="Arial"/>
          <w:i/>
        </w:rPr>
      </w:pPr>
    </w:p>
    <w:p w:rsidR="00FF55B4" w:rsidRDefault="00FF55B4" w:rsidP="00E87ACB">
      <w:pPr>
        <w:rPr>
          <w:rFonts w:cs="Arial"/>
          <w:i/>
        </w:rPr>
      </w:pPr>
    </w:p>
    <w:p w:rsidR="00FF55B4" w:rsidRDefault="00FF55B4" w:rsidP="00E87ACB">
      <w:pPr>
        <w:rPr>
          <w:rFonts w:cs="Arial"/>
          <w:i/>
        </w:rPr>
      </w:pPr>
    </w:p>
    <w:p w:rsidR="00FF55B4" w:rsidRDefault="00FF55B4" w:rsidP="00E87ACB">
      <w:pPr>
        <w:rPr>
          <w:rFonts w:cs="Arial"/>
          <w:i/>
        </w:rPr>
      </w:pPr>
    </w:p>
    <w:p w:rsidR="00E87ACB" w:rsidRPr="00946AB2" w:rsidRDefault="00E87ACB" w:rsidP="00E87ACB">
      <w:pPr>
        <w:rPr>
          <w:rFonts w:cs="Arial"/>
          <w:i/>
        </w:rPr>
      </w:pPr>
      <w:r w:rsidRPr="00946AB2">
        <w:rPr>
          <w:rFonts w:cs="Arial"/>
          <w:i/>
        </w:rPr>
        <w:lastRenderedPageBreak/>
        <w:t>Figure 2</w:t>
      </w:r>
    </w:p>
    <w:p w:rsidR="00E87ACB" w:rsidRPr="00E87ACB" w:rsidRDefault="002F5EDD" w:rsidP="00E87ACB">
      <w:pPr>
        <w:rPr>
          <w:rFonts w:cs="Arial"/>
        </w:rPr>
      </w:pPr>
      <w:r>
        <w:rPr>
          <w:noProof/>
          <w:lang w:eastAsia="en-GB"/>
        </w:rPr>
        <w:drawing>
          <wp:inline distT="0" distB="0" distL="0" distR="0" wp14:anchorId="1E490749" wp14:editId="72A94B3E">
            <wp:extent cx="5486400" cy="32385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27ED" w:rsidRPr="005D03F3" w:rsidRDefault="005D03F3" w:rsidP="005D03F3">
      <w:pPr>
        <w:rPr>
          <w:rFonts w:cs="Arial"/>
        </w:rPr>
      </w:pPr>
      <w:r>
        <w:rPr>
          <w:rFonts w:cs="Arial"/>
        </w:rPr>
        <w:t>Seven out of ten respondents reported that, sinc</w:t>
      </w:r>
      <w:r w:rsidR="00BC27ED" w:rsidRPr="005D03F3">
        <w:rPr>
          <w:rFonts w:cs="Arial"/>
        </w:rPr>
        <w:t>e September 2012, progression routes through to ense</w:t>
      </w:r>
      <w:r w:rsidR="001523A6">
        <w:rPr>
          <w:rFonts w:cs="Arial"/>
        </w:rPr>
        <w:t>mbles had</w:t>
      </w:r>
      <w:r w:rsidR="00BC27ED" w:rsidRPr="005D03F3">
        <w:rPr>
          <w:rFonts w:cs="Arial"/>
        </w:rPr>
        <w:t xml:space="preserve"> improved.</w:t>
      </w:r>
      <w:r w:rsidR="00D06329" w:rsidRPr="005D03F3">
        <w:rPr>
          <w:rFonts w:cs="Arial"/>
        </w:rPr>
        <w:t xml:space="preserve"> </w:t>
      </w:r>
      <w:r>
        <w:rPr>
          <w:rFonts w:cs="Arial"/>
        </w:rPr>
        <w:t xml:space="preserve">One in four respondents disagreed with this statement. </w:t>
      </w:r>
      <w:r w:rsidR="00D06329" w:rsidRPr="005D03F3">
        <w:rPr>
          <w:rFonts w:cs="Arial"/>
        </w:rPr>
        <w:t>(</w:t>
      </w:r>
      <w:r>
        <w:rPr>
          <w:rFonts w:cs="Arial"/>
        </w:rPr>
        <w:t xml:space="preserve">See </w:t>
      </w:r>
      <w:r w:rsidR="00D06329" w:rsidRPr="005D03F3">
        <w:rPr>
          <w:rFonts w:cs="Arial"/>
        </w:rPr>
        <w:t>Figure 3).</w:t>
      </w:r>
    </w:p>
    <w:p w:rsidR="00BC27ED" w:rsidRPr="00946AB2" w:rsidRDefault="00BC27ED" w:rsidP="00BC27ED">
      <w:pPr>
        <w:rPr>
          <w:rFonts w:cs="Arial"/>
          <w:i/>
        </w:rPr>
      </w:pPr>
      <w:r w:rsidRPr="00946AB2">
        <w:rPr>
          <w:rFonts w:cs="Arial"/>
          <w:i/>
        </w:rPr>
        <w:t>Figure 3</w:t>
      </w:r>
    </w:p>
    <w:p w:rsidR="00BC27ED" w:rsidRDefault="002F5EDD" w:rsidP="00BC27ED">
      <w:pPr>
        <w:rPr>
          <w:rFonts w:cs="Arial"/>
        </w:rPr>
      </w:pPr>
      <w:r>
        <w:rPr>
          <w:noProof/>
          <w:lang w:eastAsia="en-GB"/>
        </w:rPr>
        <w:drawing>
          <wp:inline distT="0" distB="0" distL="0" distR="0" wp14:anchorId="63B86D8D" wp14:editId="354FA6F2">
            <wp:extent cx="5486400" cy="32385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4089" w:rsidRPr="00120F2A" w:rsidRDefault="00CB098C" w:rsidP="00744089">
      <w:pPr>
        <w:rPr>
          <w:rFonts w:cs="Arial"/>
        </w:rPr>
      </w:pPr>
      <w:r>
        <w:rPr>
          <w:rFonts w:cs="Arial"/>
        </w:rPr>
        <w:t>Almost six out of ten</w:t>
      </w:r>
      <w:r w:rsidR="00744089" w:rsidRPr="00744089">
        <w:rPr>
          <w:rFonts w:cs="Arial"/>
        </w:rPr>
        <w:t xml:space="preserve"> respondents disagree</w:t>
      </w:r>
      <w:r w:rsidR="005D03F3">
        <w:rPr>
          <w:rFonts w:cs="Arial"/>
        </w:rPr>
        <w:t>d</w:t>
      </w:r>
      <w:r w:rsidR="00744089" w:rsidRPr="00744089">
        <w:rPr>
          <w:rFonts w:cs="Arial"/>
        </w:rPr>
        <w:t xml:space="preserve"> with the statemen</w:t>
      </w:r>
      <w:r w:rsidR="005D03F3">
        <w:rPr>
          <w:rFonts w:cs="Arial"/>
        </w:rPr>
        <w:t>t that terms and conditions had</w:t>
      </w:r>
      <w:r w:rsidR="00744089" w:rsidRPr="00744089">
        <w:rPr>
          <w:rFonts w:cs="Arial"/>
        </w:rPr>
        <w:t xml:space="preserve"> improved.  Almost one in six disagree</w:t>
      </w:r>
      <w:r w:rsidR="005D03F3">
        <w:rPr>
          <w:rFonts w:cs="Arial"/>
        </w:rPr>
        <w:t>d</w:t>
      </w:r>
      <w:r w:rsidR="00744089" w:rsidRPr="00744089">
        <w:rPr>
          <w:rFonts w:cs="Arial"/>
        </w:rPr>
        <w:t xml:space="preserve"> strongly. By contrast, one in ten agree</w:t>
      </w:r>
      <w:r w:rsidR="005D03F3">
        <w:rPr>
          <w:rFonts w:cs="Arial"/>
        </w:rPr>
        <w:t>d that terms and conditions had</w:t>
      </w:r>
      <w:r w:rsidR="00744089" w:rsidRPr="00744089">
        <w:rPr>
          <w:rFonts w:cs="Arial"/>
        </w:rPr>
        <w:t xml:space="preserve"> im</w:t>
      </w:r>
      <w:r w:rsidR="00951F15">
        <w:rPr>
          <w:rFonts w:cs="Arial"/>
        </w:rPr>
        <w:t>proved and one in ten</w:t>
      </w:r>
      <w:r w:rsidR="005D03F3">
        <w:rPr>
          <w:rFonts w:cs="Arial"/>
        </w:rPr>
        <w:t xml:space="preserve"> didn’t know</w:t>
      </w:r>
      <w:r w:rsidR="00951F15">
        <w:rPr>
          <w:rFonts w:cs="Arial"/>
        </w:rPr>
        <w:t>.</w:t>
      </w:r>
      <w:r w:rsidR="005D03F3">
        <w:rPr>
          <w:rFonts w:cs="Arial"/>
        </w:rPr>
        <w:t xml:space="preserve"> 1.3</w:t>
      </w:r>
      <w:r w:rsidR="00946AB2">
        <w:rPr>
          <w:rFonts w:cs="Arial"/>
        </w:rPr>
        <w:t>%</w:t>
      </w:r>
      <w:r w:rsidR="00744089" w:rsidRPr="00744089">
        <w:rPr>
          <w:rFonts w:cs="Arial"/>
        </w:rPr>
        <w:t xml:space="preserve"> agree</w:t>
      </w:r>
      <w:r w:rsidR="005D03F3">
        <w:rPr>
          <w:rFonts w:cs="Arial"/>
        </w:rPr>
        <w:t>d</w:t>
      </w:r>
      <w:r w:rsidR="00744089" w:rsidRPr="00744089">
        <w:rPr>
          <w:rFonts w:cs="Arial"/>
        </w:rPr>
        <w:t xml:space="preserve"> strongl</w:t>
      </w:r>
      <w:r w:rsidR="005D03F3">
        <w:rPr>
          <w:rFonts w:cs="Arial"/>
        </w:rPr>
        <w:t>y that terms and conditions had</w:t>
      </w:r>
      <w:r w:rsidR="00744089" w:rsidRPr="00744089">
        <w:rPr>
          <w:rFonts w:cs="Arial"/>
        </w:rPr>
        <w:t xml:space="preserve"> improved.</w:t>
      </w:r>
      <w:r w:rsidR="002A1075">
        <w:rPr>
          <w:rFonts w:cs="Arial"/>
        </w:rPr>
        <w:t xml:space="preserve"> </w:t>
      </w:r>
      <w:r w:rsidR="00120F2A">
        <w:rPr>
          <w:rFonts w:cs="Arial"/>
        </w:rPr>
        <w:t xml:space="preserve"> </w:t>
      </w:r>
      <w:r w:rsidR="00120F2A" w:rsidRPr="00120F2A">
        <w:rPr>
          <w:rFonts w:cs="Arial"/>
        </w:rPr>
        <w:t>(</w:t>
      </w:r>
      <w:r w:rsidR="00120F2A">
        <w:rPr>
          <w:rFonts w:cs="Arial"/>
        </w:rPr>
        <w:t>See F</w:t>
      </w:r>
      <w:r w:rsidR="00120F2A" w:rsidRPr="00120F2A">
        <w:rPr>
          <w:rFonts w:cs="Arial"/>
        </w:rPr>
        <w:t>igure 4).</w:t>
      </w:r>
    </w:p>
    <w:p w:rsidR="00E87ACB" w:rsidRPr="00946AB2" w:rsidRDefault="00BC27ED" w:rsidP="00E87ACB">
      <w:pPr>
        <w:rPr>
          <w:rFonts w:cs="Arial"/>
          <w:i/>
        </w:rPr>
      </w:pPr>
      <w:r w:rsidRPr="00946AB2">
        <w:rPr>
          <w:rFonts w:cs="Arial"/>
          <w:i/>
        </w:rPr>
        <w:lastRenderedPageBreak/>
        <w:t>Figure 4</w:t>
      </w:r>
    </w:p>
    <w:p w:rsidR="00E87ACB" w:rsidRPr="00E87ACB" w:rsidRDefault="002F5EDD" w:rsidP="00E87ACB">
      <w:pPr>
        <w:rPr>
          <w:rFonts w:cs="Arial"/>
        </w:rPr>
      </w:pPr>
      <w:r>
        <w:rPr>
          <w:noProof/>
          <w:lang w:eastAsia="en-GB"/>
        </w:rPr>
        <w:drawing>
          <wp:inline distT="0" distB="0" distL="0" distR="0" wp14:anchorId="4BC45AE5" wp14:editId="46DFD9E2">
            <wp:extent cx="5446059" cy="3137647"/>
            <wp:effectExtent l="0" t="0" r="21590" b="247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642A" w:rsidRPr="001523A6" w:rsidRDefault="001523A6" w:rsidP="001523A6">
      <w:pPr>
        <w:rPr>
          <w:rFonts w:cs="Arial"/>
        </w:rPr>
      </w:pPr>
      <w:r>
        <w:rPr>
          <w:rFonts w:cs="Arial"/>
        </w:rPr>
        <w:t>In response to the statement that “</w:t>
      </w:r>
      <w:r w:rsidR="0040642A" w:rsidRPr="001523A6">
        <w:rPr>
          <w:rFonts w:cs="Arial"/>
        </w:rPr>
        <w:t>Since September 2012, our ability to quality assure work has improved</w:t>
      </w:r>
      <w:r>
        <w:rPr>
          <w:rFonts w:cs="Arial"/>
        </w:rPr>
        <w:t>”, half of the respondents agreed or a</w:t>
      </w:r>
      <w:r w:rsidR="00AD5CD7">
        <w:rPr>
          <w:rFonts w:cs="Arial"/>
        </w:rPr>
        <w:t xml:space="preserve">greed strongly, but half </w:t>
      </w:r>
      <w:r>
        <w:rPr>
          <w:rFonts w:cs="Arial"/>
        </w:rPr>
        <w:t>disagreed, disagreed strongly, or didn’t know</w:t>
      </w:r>
      <w:r w:rsidR="0040642A" w:rsidRPr="001523A6">
        <w:rPr>
          <w:rFonts w:cs="Arial"/>
        </w:rPr>
        <w:t>.</w:t>
      </w:r>
      <w:r w:rsidR="007B338D" w:rsidRPr="001523A6">
        <w:rPr>
          <w:rFonts w:cs="Arial"/>
        </w:rPr>
        <w:t xml:space="preserve"> (</w:t>
      </w:r>
      <w:r>
        <w:rPr>
          <w:rFonts w:cs="Arial"/>
        </w:rPr>
        <w:t xml:space="preserve">See </w:t>
      </w:r>
      <w:r w:rsidR="007B338D" w:rsidRPr="001523A6">
        <w:rPr>
          <w:rFonts w:cs="Arial"/>
        </w:rPr>
        <w:t>Figure 5).</w:t>
      </w:r>
    </w:p>
    <w:p w:rsidR="00EF7B42" w:rsidRPr="004B3361" w:rsidRDefault="00BC27ED" w:rsidP="00EF7B42">
      <w:pPr>
        <w:rPr>
          <w:rFonts w:cs="Arial"/>
          <w:i/>
        </w:rPr>
      </w:pPr>
      <w:r w:rsidRPr="004B3361">
        <w:rPr>
          <w:rFonts w:cs="Arial"/>
          <w:i/>
        </w:rPr>
        <w:t>Figure 5</w:t>
      </w:r>
    </w:p>
    <w:p w:rsidR="00C52C91" w:rsidRPr="00C52C91" w:rsidRDefault="005E0296" w:rsidP="00C52C91">
      <w:pPr>
        <w:rPr>
          <w:rFonts w:cs="Arial"/>
        </w:rPr>
      </w:pPr>
      <w:r>
        <w:rPr>
          <w:noProof/>
          <w:lang w:eastAsia="en-GB"/>
        </w:rPr>
        <w:drawing>
          <wp:inline distT="0" distB="0" distL="0" distR="0" wp14:anchorId="14B69303" wp14:editId="3B32A0BF">
            <wp:extent cx="5486400" cy="32385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642A" w:rsidRPr="001523A6" w:rsidRDefault="001523A6" w:rsidP="001523A6">
      <w:pPr>
        <w:rPr>
          <w:rFonts w:cs="Arial"/>
        </w:rPr>
      </w:pPr>
      <w:r>
        <w:rPr>
          <w:rFonts w:cs="Arial"/>
        </w:rPr>
        <w:t>Respondents were also asked to consider whether, s</w:t>
      </w:r>
      <w:r w:rsidR="0040642A" w:rsidRPr="001523A6">
        <w:rPr>
          <w:rFonts w:cs="Arial"/>
        </w:rPr>
        <w:t>ince September 2012, overall, opportunities for young people to engage in music have improved</w:t>
      </w:r>
      <w:r w:rsidR="001D6551" w:rsidRPr="001523A6">
        <w:rPr>
          <w:rFonts w:cs="Arial"/>
        </w:rPr>
        <w:t>.</w:t>
      </w:r>
      <w:r w:rsidR="00B834B9" w:rsidRPr="001523A6">
        <w:rPr>
          <w:rFonts w:cs="Arial"/>
        </w:rPr>
        <w:t xml:space="preserve"> </w:t>
      </w:r>
      <w:r>
        <w:rPr>
          <w:rFonts w:cs="Arial"/>
        </w:rPr>
        <w:t xml:space="preserve"> More than three out of four respondents agreed or agreed strongly with this statement. Fifteen percent disagreed and 6.5% didn’t know. </w:t>
      </w:r>
      <w:r w:rsidR="00B834B9" w:rsidRPr="001523A6">
        <w:rPr>
          <w:rFonts w:cs="Arial"/>
        </w:rPr>
        <w:t>(</w:t>
      </w:r>
      <w:r>
        <w:rPr>
          <w:rFonts w:cs="Arial"/>
        </w:rPr>
        <w:t xml:space="preserve">See </w:t>
      </w:r>
      <w:r w:rsidR="00B834B9" w:rsidRPr="001523A6">
        <w:rPr>
          <w:rFonts w:cs="Arial"/>
        </w:rPr>
        <w:t>Figure 6).</w:t>
      </w:r>
    </w:p>
    <w:p w:rsidR="001D6551" w:rsidRDefault="001D6551" w:rsidP="001D6551">
      <w:pPr>
        <w:rPr>
          <w:rFonts w:cs="Arial"/>
        </w:rPr>
      </w:pPr>
      <w:r w:rsidRPr="004B3361">
        <w:rPr>
          <w:rFonts w:cs="Arial"/>
          <w:i/>
        </w:rPr>
        <w:lastRenderedPageBreak/>
        <w:t>Figure 6</w:t>
      </w:r>
      <w:r w:rsidR="001F0B4A">
        <w:rPr>
          <w:noProof/>
          <w:lang w:eastAsia="en-GB"/>
        </w:rPr>
        <w:drawing>
          <wp:inline distT="0" distB="0" distL="0" distR="0" wp14:anchorId="204DA43E" wp14:editId="5DA2A4BB">
            <wp:extent cx="5486400" cy="32385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642A" w:rsidRPr="00156C06" w:rsidRDefault="00851C3D" w:rsidP="00B92167">
      <w:r>
        <w:rPr>
          <w:b/>
          <w:u w:val="single"/>
        </w:rPr>
        <w:t xml:space="preserve">Additional </w:t>
      </w:r>
      <w:r w:rsidR="00F5056E" w:rsidRPr="00156C06">
        <w:rPr>
          <w:b/>
          <w:u w:val="single"/>
        </w:rPr>
        <w:t>Comments</w:t>
      </w:r>
    </w:p>
    <w:p w:rsidR="00F5056E" w:rsidRDefault="00851C3D" w:rsidP="00B92167">
      <w:r>
        <w:t>Hub leaders</w:t>
      </w:r>
      <w:r w:rsidR="00F5056E">
        <w:t xml:space="preserve"> also </w:t>
      </w:r>
      <w:r>
        <w:t>had the opportunity to provide</w:t>
      </w:r>
      <w:r w:rsidR="00F5056E">
        <w:t xml:space="preserve"> further commentary.</w:t>
      </w:r>
      <w:r>
        <w:t xml:space="preserve"> Fifty respondents commented on a range of issues</w:t>
      </w:r>
      <w:r w:rsidR="008B25CB">
        <w:t xml:space="preserve"> with some respondents commenting on several different issues</w:t>
      </w:r>
      <w:r>
        <w:t>.</w:t>
      </w:r>
      <w:r w:rsidR="00750E70">
        <w:t xml:space="preserve"> </w:t>
      </w:r>
      <w:r w:rsidR="00F5056E">
        <w:t>Some commen</w:t>
      </w:r>
      <w:r w:rsidR="00750E70">
        <w:t>ts were overwhelmingly positive.</w:t>
      </w:r>
    </w:p>
    <w:p w:rsidR="00851C3D" w:rsidRDefault="00851C3D" w:rsidP="00B92167">
      <w:r>
        <w:t>Two hub leaders commented on the benefits of working together with more</w:t>
      </w:r>
      <w:r w:rsidR="00E06B24">
        <w:t xml:space="preserve"> than one music service </w:t>
      </w:r>
      <w:r w:rsidR="00750E70">
        <w:t>or</w:t>
      </w:r>
      <w:r w:rsidR="00E06B24">
        <w:t xml:space="preserve"> in partnership with other organisations:</w:t>
      </w:r>
    </w:p>
    <w:p w:rsidR="00E06B24" w:rsidRDefault="00E06B24" w:rsidP="00E06B24">
      <w:pPr>
        <w:spacing w:after="0" w:line="240" w:lineRule="auto"/>
        <w:ind w:left="720"/>
        <w:rPr>
          <w:rFonts w:eastAsia="Times New Roman" w:cs="Microsoft Sans Serif"/>
          <w:i/>
          <w:lang w:eastAsia="en-GB"/>
        </w:rPr>
      </w:pPr>
      <w:r w:rsidRPr="00F5056E">
        <w:rPr>
          <w:rFonts w:eastAsia="Times New Roman" w:cs="Microsoft Sans Serif"/>
          <w:i/>
          <w:lang w:eastAsia="en-GB"/>
        </w:rPr>
        <w:t>Bringing together the expertise from three music services has supported the positive development of the Hub. The strategic approach to partnership work and ge</w:t>
      </w:r>
      <w:r>
        <w:rPr>
          <w:rFonts w:eastAsia="Times New Roman" w:cs="Microsoft Sans Serif"/>
          <w:i/>
          <w:lang w:eastAsia="en-GB"/>
        </w:rPr>
        <w:t xml:space="preserve">nuine interest of partners to </w:t>
      </w:r>
      <w:r w:rsidRPr="00F5056E">
        <w:rPr>
          <w:rFonts w:eastAsia="Times New Roman" w:cs="Microsoft Sans Serif"/>
          <w:i/>
          <w:lang w:eastAsia="en-GB"/>
        </w:rPr>
        <w:t>support the musical pathway for young people has truly enhanced the music education engagement opportunities for young people in our schools and community.</w:t>
      </w:r>
    </w:p>
    <w:p w:rsidR="00E06B24" w:rsidRDefault="00E06B24" w:rsidP="00E06B24">
      <w:pPr>
        <w:spacing w:after="0" w:line="240" w:lineRule="auto"/>
        <w:ind w:left="720"/>
        <w:rPr>
          <w:rFonts w:eastAsia="Times New Roman" w:cs="Microsoft Sans Serif"/>
          <w:i/>
          <w:lang w:eastAsia="en-GB"/>
        </w:rPr>
      </w:pPr>
    </w:p>
    <w:p w:rsidR="00E06B24" w:rsidRDefault="00E06B24" w:rsidP="00E06B24">
      <w:pPr>
        <w:spacing w:after="0" w:line="240" w:lineRule="auto"/>
        <w:ind w:left="720"/>
        <w:rPr>
          <w:rFonts w:eastAsia="Times New Roman" w:cs="Microsoft Sans Serif"/>
          <w:i/>
          <w:lang w:eastAsia="en-GB"/>
        </w:rPr>
      </w:pPr>
      <w:r w:rsidRPr="00441507">
        <w:rPr>
          <w:rFonts w:eastAsia="Times New Roman" w:cs="Microsoft Sans Serif"/>
          <w:i/>
          <w:lang w:eastAsia="en-GB"/>
        </w:rPr>
        <w:t xml:space="preserve">Although we have always worked in partnership the creation of the hub </w:t>
      </w:r>
      <w:r w:rsidR="008B25CB">
        <w:rPr>
          <w:rFonts w:eastAsia="Times New Roman" w:cs="Microsoft Sans Serif"/>
          <w:i/>
          <w:lang w:eastAsia="en-GB"/>
        </w:rPr>
        <w:t>h</w:t>
      </w:r>
      <w:r w:rsidRPr="00441507">
        <w:rPr>
          <w:rFonts w:eastAsia="Times New Roman" w:cs="Microsoft Sans Serif"/>
          <w:i/>
          <w:lang w:eastAsia="en-GB"/>
        </w:rPr>
        <w:t>as provide</w:t>
      </w:r>
      <w:r w:rsidR="008B25CB">
        <w:rPr>
          <w:rFonts w:eastAsia="Times New Roman" w:cs="Microsoft Sans Serif"/>
          <w:i/>
          <w:lang w:eastAsia="en-GB"/>
        </w:rPr>
        <w:t>d</w:t>
      </w:r>
      <w:r w:rsidRPr="00441507">
        <w:rPr>
          <w:rFonts w:eastAsia="Times New Roman" w:cs="Microsoft Sans Serif"/>
          <w:i/>
          <w:lang w:eastAsia="en-GB"/>
        </w:rPr>
        <w:t xml:space="preserve"> a formal structure through which we can work more effectively and plan provision across the sector based on need. With significantly less funding this way of working has enabled us to continue to provide high quality opportunities for all. The LA funding presently in place has</w:t>
      </w:r>
      <w:r>
        <w:rPr>
          <w:rFonts w:eastAsia="Times New Roman" w:cs="Microsoft Sans Serif"/>
          <w:i/>
          <w:lang w:eastAsia="en-GB"/>
        </w:rPr>
        <w:t xml:space="preserve"> also made a significant differ</w:t>
      </w:r>
      <w:r w:rsidRPr="00441507">
        <w:rPr>
          <w:rFonts w:eastAsia="Times New Roman" w:cs="Microsoft Sans Serif"/>
          <w:i/>
          <w:lang w:eastAsia="en-GB"/>
        </w:rPr>
        <w:t>ence in ensuring access</w:t>
      </w:r>
      <w:r>
        <w:rPr>
          <w:rFonts w:eastAsia="Times New Roman" w:cs="Microsoft Sans Serif"/>
          <w:i/>
          <w:lang w:eastAsia="en-GB"/>
        </w:rPr>
        <w:t>.</w:t>
      </w:r>
    </w:p>
    <w:p w:rsidR="00E06B24" w:rsidRDefault="00E06B24" w:rsidP="00144B1B">
      <w:pPr>
        <w:pStyle w:val="NoSpacing"/>
      </w:pPr>
    </w:p>
    <w:p w:rsidR="00851C3D" w:rsidRDefault="00851C3D" w:rsidP="00B92167">
      <w:r>
        <w:t>One hub leader stated, in respect of quality assurance:</w:t>
      </w:r>
    </w:p>
    <w:p w:rsidR="00141F5D" w:rsidRDefault="00141F5D" w:rsidP="00F5056E">
      <w:pPr>
        <w:spacing w:after="0" w:line="240" w:lineRule="auto"/>
        <w:ind w:left="720"/>
        <w:rPr>
          <w:rFonts w:eastAsia="Times New Roman" w:cs="Microsoft Sans Serif"/>
          <w:i/>
          <w:lang w:eastAsia="en-GB"/>
        </w:rPr>
      </w:pPr>
      <w:r>
        <w:rPr>
          <w:rFonts w:eastAsia="Times New Roman" w:cs="Microsoft Sans Serif"/>
          <w:i/>
          <w:lang w:eastAsia="en-GB"/>
        </w:rPr>
        <w:t xml:space="preserve">I </w:t>
      </w:r>
      <w:r w:rsidRPr="00141F5D">
        <w:rPr>
          <w:rFonts w:eastAsia="Times New Roman" w:cs="Microsoft Sans Serif"/>
          <w:i/>
          <w:lang w:eastAsia="en-GB"/>
        </w:rPr>
        <w:t>feel our quality assurance has always been strong and this has kept constant.</w:t>
      </w:r>
    </w:p>
    <w:p w:rsidR="00851C3D" w:rsidRDefault="00851C3D" w:rsidP="00851C3D">
      <w:pPr>
        <w:spacing w:after="0" w:line="240" w:lineRule="auto"/>
        <w:rPr>
          <w:rFonts w:eastAsia="Times New Roman" w:cs="Microsoft Sans Serif"/>
          <w:i/>
          <w:lang w:eastAsia="en-GB"/>
        </w:rPr>
      </w:pPr>
    </w:p>
    <w:p w:rsidR="00851C3D" w:rsidRPr="00851C3D" w:rsidRDefault="00E06B24" w:rsidP="00851C3D">
      <w:pPr>
        <w:spacing w:after="0" w:line="240" w:lineRule="auto"/>
        <w:rPr>
          <w:rFonts w:eastAsia="Times New Roman" w:cs="Microsoft Sans Serif"/>
          <w:lang w:eastAsia="en-GB"/>
        </w:rPr>
      </w:pPr>
      <w:r>
        <w:rPr>
          <w:rFonts w:eastAsia="Times New Roman" w:cs="Microsoft Sans Serif"/>
          <w:lang w:eastAsia="en-GB"/>
        </w:rPr>
        <w:t>Two further positive comments related to progression:</w:t>
      </w:r>
    </w:p>
    <w:p w:rsidR="00141F5D" w:rsidRDefault="00141F5D" w:rsidP="00F5056E">
      <w:pPr>
        <w:spacing w:after="0" w:line="240" w:lineRule="auto"/>
        <w:ind w:left="720"/>
        <w:rPr>
          <w:rFonts w:eastAsia="Times New Roman" w:cs="Microsoft Sans Serif"/>
          <w:i/>
          <w:lang w:eastAsia="en-GB"/>
        </w:rPr>
      </w:pPr>
    </w:p>
    <w:p w:rsidR="00E06B24" w:rsidRDefault="00E06B24" w:rsidP="00E06B24">
      <w:pPr>
        <w:spacing w:after="0" w:line="240" w:lineRule="auto"/>
        <w:ind w:left="720"/>
        <w:rPr>
          <w:rFonts w:eastAsia="Times New Roman" w:cs="Microsoft Sans Serif"/>
          <w:i/>
          <w:lang w:eastAsia="en-GB"/>
        </w:rPr>
      </w:pPr>
      <w:r w:rsidRPr="00557EF5">
        <w:rPr>
          <w:rFonts w:eastAsia="Times New Roman" w:cs="Microsoft Sans Serif"/>
          <w:i/>
          <w:lang w:eastAsia="en-GB"/>
        </w:rPr>
        <w:t>We have sometimes struggled to provide progression in schools so from April 2014 we will have progression tuition available through Music Centres.</w:t>
      </w:r>
    </w:p>
    <w:p w:rsidR="00D85D4F" w:rsidRDefault="00D85D4F" w:rsidP="00441507">
      <w:pPr>
        <w:spacing w:after="0" w:line="240" w:lineRule="auto"/>
        <w:ind w:left="720"/>
        <w:rPr>
          <w:rFonts w:eastAsia="Times New Roman" w:cs="Microsoft Sans Serif"/>
          <w:i/>
          <w:lang w:eastAsia="en-GB"/>
        </w:rPr>
      </w:pPr>
    </w:p>
    <w:p w:rsidR="00D85D4F" w:rsidRDefault="00D85D4F" w:rsidP="00D85D4F">
      <w:pPr>
        <w:spacing w:after="0" w:line="240" w:lineRule="auto"/>
        <w:ind w:left="720"/>
        <w:rPr>
          <w:rFonts w:eastAsia="Times New Roman" w:cs="Microsoft Sans Serif"/>
          <w:i/>
          <w:lang w:eastAsia="en-GB"/>
        </w:rPr>
      </w:pPr>
      <w:r w:rsidRPr="004D1575">
        <w:rPr>
          <w:rFonts w:eastAsia="Times New Roman" w:cs="Microsoft Sans Serif"/>
          <w:i/>
          <w:lang w:eastAsia="en-GB"/>
        </w:rPr>
        <w:lastRenderedPageBreak/>
        <w:t>Some positive initiatives have helped with progression, especially the M</w:t>
      </w:r>
      <w:r>
        <w:rPr>
          <w:rFonts w:eastAsia="Times New Roman" w:cs="Microsoft Sans Serif"/>
          <w:i/>
          <w:lang w:eastAsia="en-GB"/>
        </w:rPr>
        <w:t xml:space="preserve">ayor’s </w:t>
      </w:r>
      <w:r w:rsidRPr="004D1575">
        <w:rPr>
          <w:rFonts w:eastAsia="Times New Roman" w:cs="Microsoft Sans Serif"/>
          <w:i/>
          <w:lang w:eastAsia="en-GB"/>
        </w:rPr>
        <w:t>F</w:t>
      </w:r>
      <w:r>
        <w:rPr>
          <w:rFonts w:eastAsia="Times New Roman" w:cs="Microsoft Sans Serif"/>
          <w:i/>
          <w:lang w:eastAsia="en-GB"/>
        </w:rPr>
        <w:t xml:space="preserve">und for Young </w:t>
      </w:r>
      <w:r w:rsidRPr="004D1575">
        <w:rPr>
          <w:rFonts w:eastAsia="Times New Roman" w:cs="Microsoft Sans Serif"/>
          <w:i/>
          <w:lang w:eastAsia="en-GB"/>
        </w:rPr>
        <w:t>M</w:t>
      </w:r>
      <w:r>
        <w:rPr>
          <w:rFonts w:eastAsia="Times New Roman" w:cs="Microsoft Sans Serif"/>
          <w:i/>
          <w:lang w:eastAsia="en-GB"/>
        </w:rPr>
        <w:t>usicians</w:t>
      </w:r>
      <w:r w:rsidRPr="004D1575">
        <w:rPr>
          <w:rFonts w:eastAsia="Times New Roman" w:cs="Microsoft Sans Serif"/>
          <w:i/>
          <w:lang w:eastAsia="en-GB"/>
        </w:rPr>
        <w:t xml:space="preserve"> in which we have 9 scholars funded for 4 years following W</w:t>
      </w:r>
      <w:r w:rsidR="008F64FF">
        <w:rPr>
          <w:rFonts w:eastAsia="Times New Roman" w:cs="Microsoft Sans Serif"/>
          <w:i/>
          <w:lang w:eastAsia="en-GB"/>
        </w:rPr>
        <w:t xml:space="preserve">hole </w:t>
      </w:r>
      <w:r w:rsidRPr="004D1575">
        <w:rPr>
          <w:rFonts w:eastAsia="Times New Roman" w:cs="Microsoft Sans Serif"/>
          <w:i/>
          <w:lang w:eastAsia="en-GB"/>
        </w:rPr>
        <w:t>C</w:t>
      </w:r>
      <w:r w:rsidR="008F64FF">
        <w:rPr>
          <w:rFonts w:eastAsia="Times New Roman" w:cs="Microsoft Sans Serif"/>
          <w:i/>
          <w:lang w:eastAsia="en-GB"/>
        </w:rPr>
        <w:t xml:space="preserve">lass </w:t>
      </w:r>
      <w:r w:rsidRPr="004D1575">
        <w:rPr>
          <w:rFonts w:eastAsia="Times New Roman" w:cs="Microsoft Sans Serif"/>
          <w:i/>
          <w:lang w:eastAsia="en-GB"/>
        </w:rPr>
        <w:t>E</w:t>
      </w:r>
      <w:r w:rsidR="008F64FF">
        <w:rPr>
          <w:rFonts w:eastAsia="Times New Roman" w:cs="Microsoft Sans Serif"/>
          <w:i/>
          <w:lang w:eastAsia="en-GB"/>
        </w:rPr>
        <w:t xml:space="preserve">nsemble </w:t>
      </w:r>
      <w:r w:rsidRPr="004D1575">
        <w:rPr>
          <w:rFonts w:eastAsia="Times New Roman" w:cs="Microsoft Sans Serif"/>
          <w:i/>
          <w:lang w:eastAsia="en-GB"/>
        </w:rPr>
        <w:t>T</w:t>
      </w:r>
      <w:r w:rsidR="008F64FF">
        <w:rPr>
          <w:rFonts w:eastAsia="Times New Roman" w:cs="Microsoft Sans Serif"/>
          <w:i/>
          <w:lang w:eastAsia="en-GB"/>
        </w:rPr>
        <w:t>eaching</w:t>
      </w:r>
      <w:r w:rsidRPr="004D1575">
        <w:rPr>
          <w:rFonts w:eastAsia="Times New Roman" w:cs="Microsoft Sans Serif"/>
          <w:i/>
          <w:lang w:eastAsia="en-GB"/>
        </w:rPr>
        <w:t xml:space="preserve"> for instrumental lessons, ensemble membership etc.</w:t>
      </w:r>
    </w:p>
    <w:p w:rsidR="00E06B24" w:rsidRDefault="00E06B24" w:rsidP="00E06B24">
      <w:pPr>
        <w:spacing w:after="0" w:line="240" w:lineRule="auto"/>
        <w:rPr>
          <w:rFonts w:eastAsia="Times New Roman" w:cs="Microsoft Sans Serif"/>
          <w:i/>
          <w:lang w:eastAsia="en-GB"/>
        </w:rPr>
      </w:pPr>
    </w:p>
    <w:p w:rsidR="00E06B24" w:rsidRPr="00E06B24" w:rsidRDefault="00E06B24" w:rsidP="00E06B24">
      <w:pPr>
        <w:spacing w:after="0" w:line="240" w:lineRule="auto"/>
        <w:rPr>
          <w:rFonts w:eastAsia="Times New Roman" w:cs="Microsoft Sans Serif"/>
          <w:lang w:eastAsia="en-GB"/>
        </w:rPr>
      </w:pPr>
      <w:r>
        <w:rPr>
          <w:rFonts w:eastAsia="Times New Roman" w:cs="Microsoft Sans Serif"/>
          <w:lang w:eastAsia="en-GB"/>
        </w:rPr>
        <w:t>Singing also received a positive comment from one hub leader:</w:t>
      </w:r>
    </w:p>
    <w:p w:rsidR="006E22CC" w:rsidRDefault="006E22CC" w:rsidP="00D85D4F">
      <w:pPr>
        <w:spacing w:after="0" w:line="240" w:lineRule="auto"/>
        <w:ind w:left="720"/>
        <w:rPr>
          <w:rFonts w:eastAsia="Times New Roman" w:cs="Microsoft Sans Serif"/>
          <w:i/>
          <w:lang w:eastAsia="en-GB"/>
        </w:rPr>
      </w:pPr>
    </w:p>
    <w:p w:rsidR="008F1A7E" w:rsidRDefault="008F1A7E" w:rsidP="00D85D4F">
      <w:pPr>
        <w:spacing w:after="0" w:line="240" w:lineRule="auto"/>
        <w:ind w:left="720"/>
        <w:rPr>
          <w:rFonts w:eastAsia="Times New Roman" w:cs="Microsoft Sans Serif"/>
          <w:i/>
          <w:lang w:eastAsia="en-GB"/>
        </w:rPr>
      </w:pPr>
      <w:r w:rsidRPr="008F1A7E">
        <w:rPr>
          <w:rFonts w:eastAsia="Times New Roman" w:cs="Microsoft Sans Serif"/>
          <w:i/>
          <w:lang w:eastAsia="en-GB"/>
        </w:rPr>
        <w:t>Singing strategy has seen a greater involvement in singing across the borough especially at primary level.</w:t>
      </w:r>
    </w:p>
    <w:p w:rsidR="00E06B24" w:rsidRDefault="00E06B24" w:rsidP="00E06B24">
      <w:pPr>
        <w:spacing w:after="0" w:line="240" w:lineRule="auto"/>
        <w:rPr>
          <w:rFonts w:eastAsia="Times New Roman" w:cs="Microsoft Sans Serif"/>
          <w:i/>
          <w:lang w:eastAsia="en-GB"/>
        </w:rPr>
      </w:pPr>
    </w:p>
    <w:p w:rsidR="00E06B24" w:rsidRPr="00E06B24" w:rsidRDefault="00E06B24" w:rsidP="00E06B24">
      <w:pPr>
        <w:spacing w:after="0" w:line="240" w:lineRule="auto"/>
        <w:rPr>
          <w:rFonts w:eastAsia="Times New Roman" w:cs="Microsoft Sans Serif"/>
          <w:lang w:eastAsia="en-GB"/>
        </w:rPr>
      </w:pPr>
      <w:r>
        <w:rPr>
          <w:rFonts w:eastAsia="Times New Roman" w:cs="Microsoft Sans Serif"/>
          <w:lang w:eastAsia="en-GB"/>
        </w:rPr>
        <w:t>One hub leader reported, in respect of commitment from staff:</w:t>
      </w:r>
    </w:p>
    <w:p w:rsidR="008F1A7E" w:rsidRDefault="008F1A7E" w:rsidP="00D85D4F">
      <w:pPr>
        <w:spacing w:after="0" w:line="240" w:lineRule="auto"/>
        <w:ind w:left="720"/>
        <w:rPr>
          <w:rFonts w:eastAsia="Times New Roman" w:cs="Microsoft Sans Serif"/>
          <w:i/>
          <w:lang w:eastAsia="en-GB"/>
        </w:rPr>
      </w:pPr>
    </w:p>
    <w:p w:rsidR="006E22CC" w:rsidRDefault="006E22CC" w:rsidP="00D85D4F">
      <w:pPr>
        <w:spacing w:after="0" w:line="240" w:lineRule="auto"/>
        <w:ind w:left="720"/>
        <w:rPr>
          <w:rFonts w:eastAsia="Times New Roman" w:cs="Microsoft Sans Serif"/>
          <w:i/>
          <w:lang w:eastAsia="en-GB"/>
        </w:rPr>
      </w:pPr>
      <w:r w:rsidRPr="006E22CC">
        <w:rPr>
          <w:rFonts w:eastAsia="Times New Roman" w:cs="Microsoft Sans Serif"/>
          <w:i/>
          <w:lang w:eastAsia="en-GB"/>
        </w:rPr>
        <w:t>The level of commitment from staff has improved.</w:t>
      </w:r>
    </w:p>
    <w:p w:rsidR="00E06B24" w:rsidRDefault="00E06B24" w:rsidP="00E06B24">
      <w:pPr>
        <w:spacing w:after="0" w:line="240" w:lineRule="auto"/>
        <w:rPr>
          <w:rFonts w:eastAsia="Times New Roman" w:cs="Microsoft Sans Serif"/>
          <w:i/>
          <w:lang w:eastAsia="en-GB"/>
        </w:rPr>
      </w:pPr>
    </w:p>
    <w:p w:rsidR="00E06B24" w:rsidRPr="00E06B24" w:rsidRDefault="00E06B24" w:rsidP="00990562">
      <w:pPr>
        <w:pStyle w:val="NoSpacing"/>
        <w:rPr>
          <w:lang w:eastAsia="en-GB"/>
        </w:rPr>
      </w:pPr>
      <w:r>
        <w:rPr>
          <w:lang w:eastAsia="en-GB"/>
        </w:rPr>
        <w:t xml:space="preserve">And the aspiration in the National Plan </w:t>
      </w:r>
      <w:r w:rsidR="00365FAC">
        <w:rPr>
          <w:lang w:eastAsia="en-GB"/>
        </w:rPr>
        <w:t>to reach all</w:t>
      </w:r>
      <w:r>
        <w:rPr>
          <w:lang w:eastAsia="en-GB"/>
        </w:rPr>
        <w:t xml:space="preserve"> young people </w:t>
      </w:r>
      <w:r w:rsidR="00B23BA8">
        <w:rPr>
          <w:lang w:eastAsia="en-GB"/>
        </w:rPr>
        <w:t xml:space="preserve">received the following comment </w:t>
      </w:r>
      <w:r w:rsidR="00365FAC">
        <w:rPr>
          <w:lang w:eastAsia="en-GB"/>
        </w:rPr>
        <w:t>from</w:t>
      </w:r>
      <w:r>
        <w:rPr>
          <w:lang w:eastAsia="en-GB"/>
        </w:rPr>
        <w:t xml:space="preserve"> one hub leader:</w:t>
      </w:r>
    </w:p>
    <w:p w:rsidR="009C2DCC" w:rsidRDefault="009C2DCC" w:rsidP="00D85D4F">
      <w:pPr>
        <w:spacing w:after="0" w:line="240" w:lineRule="auto"/>
        <w:ind w:left="720"/>
        <w:rPr>
          <w:rFonts w:eastAsia="Times New Roman" w:cs="Microsoft Sans Serif"/>
          <w:i/>
          <w:lang w:eastAsia="en-GB"/>
        </w:rPr>
      </w:pPr>
    </w:p>
    <w:p w:rsidR="009C2DCC" w:rsidRDefault="009C2DCC" w:rsidP="00D85D4F">
      <w:pPr>
        <w:spacing w:after="0" w:line="240" w:lineRule="auto"/>
        <w:ind w:left="720"/>
        <w:rPr>
          <w:rFonts w:eastAsia="Times New Roman" w:cs="Microsoft Sans Serif"/>
          <w:i/>
          <w:lang w:eastAsia="en-GB"/>
        </w:rPr>
      </w:pPr>
      <w:r w:rsidRPr="009C2DCC">
        <w:rPr>
          <w:rFonts w:eastAsia="Times New Roman" w:cs="Microsoft Sans Serif"/>
          <w:i/>
          <w:lang w:eastAsia="en-GB"/>
        </w:rPr>
        <w:t>Diversity, Inclusion and participation have all improved.</w:t>
      </w:r>
    </w:p>
    <w:p w:rsidR="00557EF5" w:rsidRDefault="00557EF5" w:rsidP="00D85D4F">
      <w:pPr>
        <w:spacing w:after="0" w:line="240" w:lineRule="auto"/>
        <w:ind w:left="720"/>
        <w:rPr>
          <w:rFonts w:eastAsia="Times New Roman" w:cs="Microsoft Sans Serif"/>
          <w:i/>
          <w:lang w:eastAsia="en-GB"/>
        </w:rPr>
      </w:pPr>
    </w:p>
    <w:p w:rsidR="00990562" w:rsidRDefault="00990562" w:rsidP="00990562">
      <w:pPr>
        <w:spacing w:after="0" w:line="240" w:lineRule="auto"/>
        <w:rPr>
          <w:rFonts w:eastAsia="Times New Roman" w:cs="Microsoft Sans Serif"/>
          <w:i/>
          <w:lang w:eastAsia="en-GB"/>
        </w:rPr>
      </w:pPr>
      <w:r>
        <w:t xml:space="preserve">The reporting on young people classed as ‘disadvantaged’ has improved markedly.  </w:t>
      </w:r>
      <w:r w:rsidRPr="00990562">
        <w:rPr>
          <w:rFonts w:cs="Lucida Sans Unicode"/>
          <w:lang w:val="en"/>
        </w:rPr>
        <w:t xml:space="preserve">Disadvantaged pupils (as measured by those receiving free school meals) make up 18.3% of the school population, but </w:t>
      </w:r>
      <w:r>
        <w:rPr>
          <w:rFonts w:cs="Lucida Sans Unicode"/>
          <w:lang w:val="en"/>
        </w:rPr>
        <w:t xml:space="preserve">according to the NFER report, </w:t>
      </w:r>
      <w:r w:rsidRPr="00990562">
        <w:rPr>
          <w:rFonts w:cs="Lucida Sans Unicode"/>
          <w:lang w:val="en"/>
        </w:rPr>
        <w:t>only make up 14.8% of those taking part in ensembles and choirs.</w:t>
      </w:r>
      <w:r>
        <w:rPr>
          <w:rFonts w:cs="Lucida Sans Unicode"/>
          <w:lang w:val="en"/>
        </w:rPr>
        <w:t xml:space="preserve"> </w:t>
      </w:r>
      <w:r w:rsidR="003A1FD3">
        <w:rPr>
          <w:rFonts w:cs="Lucida Sans Unicode"/>
          <w:lang w:val="en"/>
        </w:rPr>
        <w:t>However, a total of 7% of participants in ensembles and choirs have Special Educational Needs, compared with 2.8% nationally.</w:t>
      </w:r>
    </w:p>
    <w:p w:rsidR="00990562" w:rsidRPr="00990562" w:rsidRDefault="00990562" w:rsidP="00990562">
      <w:pPr>
        <w:spacing w:after="0" w:line="240" w:lineRule="auto"/>
        <w:rPr>
          <w:rFonts w:eastAsia="Times New Roman" w:cs="Microsoft Sans Serif"/>
          <w:i/>
          <w:lang w:eastAsia="en-GB"/>
        </w:rPr>
      </w:pPr>
    </w:p>
    <w:p w:rsidR="000F0303" w:rsidRDefault="00990562" w:rsidP="00990562">
      <w:pPr>
        <w:pStyle w:val="NoSpacing"/>
      </w:pPr>
      <w:r>
        <w:t>A</w:t>
      </w:r>
      <w:r w:rsidR="00E06B24">
        <w:t xml:space="preserve"> number of hub leaders</w:t>
      </w:r>
      <w:r w:rsidR="000F0303">
        <w:t xml:space="preserve"> </w:t>
      </w:r>
      <w:r w:rsidR="003A3CBD">
        <w:t>commented on</w:t>
      </w:r>
      <w:r w:rsidR="000F0303">
        <w:t xml:space="preserve"> a range of </w:t>
      </w:r>
      <w:r w:rsidR="0085398D">
        <w:t>challenges</w:t>
      </w:r>
      <w:r w:rsidR="001B58CD">
        <w:t xml:space="preserve"> and areas for improvement</w:t>
      </w:r>
      <w:r w:rsidR="0080520D">
        <w:t xml:space="preserve">. In particular, funding related issues </w:t>
      </w:r>
      <w:r w:rsidR="00246C82">
        <w:t xml:space="preserve">(both locally and nationally) </w:t>
      </w:r>
      <w:r w:rsidR="0080520D">
        <w:t>featured in a number of comments</w:t>
      </w:r>
      <w:r w:rsidR="00D9379F">
        <w:t xml:space="preserve"> as the following </w:t>
      </w:r>
      <w:r w:rsidR="00F77DAC">
        <w:t>six</w:t>
      </w:r>
      <w:r w:rsidR="0080520D">
        <w:t xml:space="preserve"> examples demonstrate:</w:t>
      </w:r>
    </w:p>
    <w:p w:rsidR="00990562" w:rsidRDefault="00990562" w:rsidP="00990562">
      <w:pPr>
        <w:pStyle w:val="NoSpacing"/>
      </w:pPr>
    </w:p>
    <w:p w:rsidR="00557EF5" w:rsidRDefault="00557EF5" w:rsidP="00CD3416">
      <w:pPr>
        <w:spacing w:after="0" w:line="240" w:lineRule="auto"/>
        <w:ind w:left="720"/>
        <w:rPr>
          <w:rFonts w:eastAsia="Times New Roman" w:cs="Microsoft Sans Serif"/>
          <w:i/>
          <w:lang w:eastAsia="en-GB"/>
        </w:rPr>
      </w:pPr>
      <w:r w:rsidRPr="00557EF5">
        <w:rPr>
          <w:rFonts w:eastAsia="Times New Roman" w:cs="Microsoft Sans Serif"/>
          <w:i/>
          <w:lang w:eastAsia="en-GB"/>
        </w:rPr>
        <w:t xml:space="preserve">Levels of local &amp; national funding have decreased since September </w:t>
      </w:r>
      <w:r w:rsidR="001777EE">
        <w:rPr>
          <w:rFonts w:eastAsia="Times New Roman" w:cs="Microsoft Sans Serif"/>
          <w:i/>
          <w:lang w:eastAsia="en-GB"/>
        </w:rPr>
        <w:t>20</w:t>
      </w:r>
      <w:r w:rsidRPr="00557EF5">
        <w:rPr>
          <w:rFonts w:eastAsia="Times New Roman" w:cs="Microsoft Sans Serif"/>
          <w:i/>
          <w:lang w:eastAsia="en-GB"/>
        </w:rPr>
        <w:t>12. Despite this we have managed to maintain quality &amp; access however this will not be possible should there be further reductions in local and national funding.</w:t>
      </w:r>
    </w:p>
    <w:p w:rsidR="00F77DAC" w:rsidRDefault="00F77DAC" w:rsidP="00CD3416">
      <w:pPr>
        <w:spacing w:after="0" w:line="240" w:lineRule="auto"/>
        <w:ind w:left="720"/>
        <w:rPr>
          <w:rFonts w:eastAsia="Times New Roman" w:cs="Microsoft Sans Serif"/>
          <w:i/>
          <w:lang w:eastAsia="en-GB"/>
        </w:rPr>
      </w:pPr>
    </w:p>
    <w:p w:rsidR="00F77DAC" w:rsidRDefault="00F77DAC" w:rsidP="00F77DAC">
      <w:pPr>
        <w:spacing w:after="0" w:line="240" w:lineRule="auto"/>
        <w:ind w:left="720"/>
        <w:rPr>
          <w:rFonts w:eastAsia="Times New Roman" w:cs="Microsoft Sans Serif"/>
          <w:i/>
          <w:lang w:eastAsia="en-GB"/>
        </w:rPr>
      </w:pPr>
      <w:r>
        <w:rPr>
          <w:rFonts w:eastAsia="Times New Roman" w:cs="Microsoft Sans Serif"/>
          <w:i/>
          <w:lang w:eastAsia="en-GB"/>
        </w:rPr>
        <w:t>We have managed to conti</w:t>
      </w:r>
      <w:r w:rsidRPr="008F1A7E">
        <w:rPr>
          <w:rFonts w:eastAsia="Times New Roman" w:cs="Microsoft Sans Serif"/>
          <w:i/>
          <w:lang w:eastAsia="en-GB"/>
        </w:rPr>
        <w:t>n</w:t>
      </w:r>
      <w:r>
        <w:rPr>
          <w:rFonts w:eastAsia="Times New Roman" w:cs="Microsoft Sans Serif"/>
          <w:i/>
          <w:lang w:eastAsia="en-GB"/>
        </w:rPr>
        <w:t>u</w:t>
      </w:r>
      <w:r w:rsidRPr="008F1A7E">
        <w:rPr>
          <w:rFonts w:eastAsia="Times New Roman" w:cs="Microsoft Sans Serif"/>
          <w:i/>
          <w:lang w:eastAsia="en-GB"/>
        </w:rPr>
        <w:t>e to of</w:t>
      </w:r>
      <w:r>
        <w:rPr>
          <w:rFonts w:eastAsia="Times New Roman" w:cs="Microsoft Sans Serif"/>
          <w:i/>
          <w:lang w:eastAsia="en-GB"/>
        </w:rPr>
        <w:t>fer good services and opportunit</w:t>
      </w:r>
      <w:r w:rsidRPr="008F1A7E">
        <w:rPr>
          <w:rFonts w:eastAsia="Times New Roman" w:cs="Microsoft Sans Serif"/>
          <w:i/>
          <w:lang w:eastAsia="en-GB"/>
        </w:rPr>
        <w:t xml:space="preserve">ies to C&amp;YP, but further cuts in funding will start to make this task almost impossible.  </w:t>
      </w:r>
    </w:p>
    <w:p w:rsidR="00557EF5" w:rsidRDefault="00557EF5" w:rsidP="00CD3416">
      <w:pPr>
        <w:spacing w:after="0" w:line="240" w:lineRule="auto"/>
        <w:ind w:left="720"/>
        <w:rPr>
          <w:rFonts w:eastAsia="Times New Roman" w:cs="Microsoft Sans Serif"/>
          <w:i/>
          <w:lang w:eastAsia="en-GB"/>
        </w:rPr>
      </w:pPr>
    </w:p>
    <w:p w:rsidR="00F23E71" w:rsidRPr="00F23E71" w:rsidRDefault="00F23E71" w:rsidP="00F23E71">
      <w:pPr>
        <w:spacing w:after="0" w:line="240" w:lineRule="auto"/>
        <w:ind w:left="720"/>
        <w:rPr>
          <w:rFonts w:eastAsia="Times New Roman" w:cs="Microsoft Sans Serif"/>
          <w:i/>
          <w:lang w:eastAsia="en-GB"/>
        </w:rPr>
      </w:pPr>
      <w:r w:rsidRPr="00F23E71">
        <w:rPr>
          <w:rFonts w:eastAsia="Times New Roman" w:cs="Microsoft Sans Serif"/>
          <w:i/>
          <w:lang w:eastAsia="en-GB"/>
        </w:rPr>
        <w:t xml:space="preserve">We continually strive </w:t>
      </w:r>
      <w:r>
        <w:rPr>
          <w:rFonts w:eastAsia="Times New Roman" w:cs="Microsoft Sans Serif"/>
          <w:i/>
          <w:lang w:eastAsia="en-GB"/>
        </w:rPr>
        <w:t>to improve the service we offer</w:t>
      </w:r>
      <w:r w:rsidR="00615470">
        <w:rPr>
          <w:rFonts w:eastAsia="Times New Roman" w:cs="Microsoft Sans Serif"/>
          <w:i/>
          <w:lang w:eastAsia="en-GB"/>
        </w:rPr>
        <w:t xml:space="preserve"> for our young people and are </w:t>
      </w:r>
      <w:r w:rsidRPr="00F23E71">
        <w:rPr>
          <w:rFonts w:eastAsia="Times New Roman" w:cs="Microsoft Sans Serif"/>
          <w:i/>
          <w:lang w:eastAsia="en-GB"/>
        </w:rPr>
        <w:t>just managing to maintain our high levels of access, participatio</w:t>
      </w:r>
      <w:r w:rsidR="001F57D1">
        <w:rPr>
          <w:rFonts w:eastAsia="Times New Roman" w:cs="Microsoft Sans Serif"/>
          <w:i/>
          <w:lang w:eastAsia="en-GB"/>
        </w:rPr>
        <w:t xml:space="preserve">n and quality despite National </w:t>
      </w:r>
      <w:r w:rsidRPr="00F23E71">
        <w:rPr>
          <w:rFonts w:eastAsia="Times New Roman" w:cs="Microsoft Sans Serif"/>
          <w:i/>
          <w:lang w:eastAsia="en-GB"/>
        </w:rPr>
        <w:t>funding diminishing. We are supported financially by schools within the L</w:t>
      </w:r>
      <w:r w:rsidR="001777EE">
        <w:rPr>
          <w:rFonts w:eastAsia="Times New Roman" w:cs="Microsoft Sans Serif"/>
          <w:i/>
          <w:lang w:eastAsia="en-GB"/>
        </w:rPr>
        <w:t xml:space="preserve">ocal </w:t>
      </w:r>
      <w:r w:rsidRPr="00F23E71">
        <w:rPr>
          <w:rFonts w:eastAsia="Times New Roman" w:cs="Microsoft Sans Serif"/>
          <w:i/>
          <w:lang w:eastAsia="en-GB"/>
        </w:rPr>
        <w:t>A</w:t>
      </w:r>
      <w:r w:rsidR="001777EE">
        <w:rPr>
          <w:rFonts w:eastAsia="Times New Roman" w:cs="Microsoft Sans Serif"/>
          <w:i/>
          <w:lang w:eastAsia="en-GB"/>
        </w:rPr>
        <w:t>uthority</w:t>
      </w:r>
      <w:r w:rsidRPr="00F23E71">
        <w:rPr>
          <w:rFonts w:eastAsia="Times New Roman" w:cs="Microsoft Sans Serif"/>
          <w:i/>
          <w:lang w:eastAsia="en-GB"/>
        </w:rPr>
        <w:t xml:space="preserve"> however this funding is increasingly under threat.</w:t>
      </w:r>
    </w:p>
    <w:p w:rsidR="0080520D" w:rsidRDefault="0080520D" w:rsidP="00E22C2D">
      <w:pPr>
        <w:spacing w:after="0" w:line="240" w:lineRule="auto"/>
        <w:rPr>
          <w:rFonts w:eastAsia="Times New Roman" w:cs="Microsoft Sans Serif"/>
          <w:i/>
          <w:lang w:eastAsia="en-GB"/>
        </w:rPr>
      </w:pPr>
    </w:p>
    <w:p w:rsidR="0080520D" w:rsidRDefault="0080520D" w:rsidP="0080520D">
      <w:pPr>
        <w:spacing w:after="0" w:line="240" w:lineRule="auto"/>
        <w:ind w:left="720"/>
        <w:rPr>
          <w:rFonts w:eastAsia="Times New Roman" w:cs="Microsoft Sans Serif"/>
          <w:i/>
          <w:lang w:eastAsia="en-GB"/>
        </w:rPr>
      </w:pPr>
      <w:r w:rsidRPr="00C32FC6">
        <w:rPr>
          <w:rFonts w:eastAsia="Times New Roman" w:cs="Microsoft Sans Serif"/>
          <w:i/>
          <w:lang w:eastAsia="en-GB"/>
        </w:rPr>
        <w:t>Numbers of groups have dropped due to lack of funding and more strain on fewer staff to deliver more.</w:t>
      </w:r>
    </w:p>
    <w:p w:rsidR="00D9379F" w:rsidRDefault="00D9379F" w:rsidP="0080520D">
      <w:pPr>
        <w:spacing w:after="0" w:line="240" w:lineRule="auto"/>
        <w:ind w:left="720"/>
        <w:rPr>
          <w:rFonts w:eastAsia="Times New Roman" w:cs="Microsoft Sans Serif"/>
          <w:i/>
          <w:lang w:eastAsia="en-GB"/>
        </w:rPr>
      </w:pPr>
    </w:p>
    <w:p w:rsidR="00D9379F" w:rsidRDefault="00D9379F" w:rsidP="00D9379F">
      <w:pPr>
        <w:spacing w:after="0" w:line="240" w:lineRule="auto"/>
        <w:ind w:left="720"/>
        <w:rPr>
          <w:rFonts w:eastAsia="Times New Roman" w:cs="Microsoft Sans Serif"/>
          <w:i/>
          <w:lang w:eastAsia="en-GB"/>
        </w:rPr>
      </w:pPr>
      <w:r>
        <w:rPr>
          <w:rFonts w:eastAsia="Times New Roman" w:cs="Microsoft Sans Serif"/>
          <w:i/>
          <w:lang w:eastAsia="en-GB"/>
        </w:rPr>
        <w:t>Funding, includi</w:t>
      </w:r>
      <w:r w:rsidRPr="00754FD8">
        <w:rPr>
          <w:rFonts w:eastAsia="Times New Roman" w:cs="Microsoft Sans Serif"/>
          <w:i/>
          <w:lang w:eastAsia="en-GB"/>
        </w:rPr>
        <w:t>ng funding cut, does not allow us to provide the opportunitie</w:t>
      </w:r>
      <w:r>
        <w:rPr>
          <w:rFonts w:eastAsia="Times New Roman" w:cs="Microsoft Sans Serif"/>
          <w:i/>
          <w:lang w:eastAsia="en-GB"/>
        </w:rPr>
        <w:t>s to continue beyond first acces</w:t>
      </w:r>
      <w:r w:rsidRPr="00754FD8">
        <w:rPr>
          <w:rFonts w:eastAsia="Times New Roman" w:cs="Microsoft Sans Serif"/>
          <w:i/>
          <w:lang w:eastAsia="en-GB"/>
        </w:rPr>
        <w:t>s that we would wish to.</w:t>
      </w:r>
    </w:p>
    <w:p w:rsidR="002E1860" w:rsidRDefault="002E1860" w:rsidP="00D9379F">
      <w:pPr>
        <w:spacing w:after="0" w:line="240" w:lineRule="auto"/>
        <w:ind w:left="720"/>
        <w:rPr>
          <w:rFonts w:eastAsia="Times New Roman" w:cs="Microsoft Sans Serif"/>
          <w:i/>
          <w:lang w:eastAsia="en-GB"/>
        </w:rPr>
      </w:pPr>
    </w:p>
    <w:p w:rsidR="002E1860" w:rsidRDefault="002E1860" w:rsidP="002E1860">
      <w:pPr>
        <w:spacing w:after="0" w:line="240" w:lineRule="auto"/>
        <w:ind w:left="720"/>
        <w:rPr>
          <w:rFonts w:eastAsia="Times New Roman" w:cs="Microsoft Sans Serif"/>
          <w:i/>
          <w:lang w:eastAsia="en-GB"/>
        </w:rPr>
      </w:pPr>
      <w:r w:rsidRPr="009A196A">
        <w:rPr>
          <w:rFonts w:eastAsia="Times New Roman" w:cs="Microsoft Sans Serif"/>
          <w:i/>
          <w:lang w:eastAsia="en-GB"/>
        </w:rPr>
        <w:t>The nature of opportunity has changed. Due to council funding cuts and support from local councils there is les</w:t>
      </w:r>
      <w:r>
        <w:rPr>
          <w:rFonts w:eastAsia="Times New Roman" w:cs="Microsoft Sans Serif"/>
          <w:i/>
          <w:lang w:eastAsia="en-GB"/>
        </w:rPr>
        <w:t>s sustainable work but more one-</w:t>
      </w:r>
      <w:r w:rsidRPr="009A196A">
        <w:rPr>
          <w:rFonts w:eastAsia="Times New Roman" w:cs="Microsoft Sans Serif"/>
          <w:i/>
          <w:lang w:eastAsia="en-GB"/>
        </w:rPr>
        <w:t>off project working as a result of the hub. We have found that teachers pay and conditions have been undermined, firstly by the academies programme some of which force</w:t>
      </w:r>
      <w:r>
        <w:rPr>
          <w:rFonts w:eastAsia="Times New Roman" w:cs="Microsoft Sans Serif"/>
          <w:i/>
          <w:lang w:eastAsia="en-GB"/>
        </w:rPr>
        <w:t>d staff to become self-</w:t>
      </w:r>
      <w:r w:rsidRPr="009A196A">
        <w:rPr>
          <w:rFonts w:eastAsia="Times New Roman" w:cs="Microsoft Sans Serif"/>
          <w:i/>
          <w:lang w:eastAsia="en-GB"/>
        </w:rPr>
        <w:t>employed; and then by the need to make savings</w:t>
      </w:r>
      <w:r>
        <w:rPr>
          <w:rFonts w:eastAsia="Times New Roman" w:cs="Microsoft Sans Serif"/>
          <w:i/>
          <w:lang w:eastAsia="en-GB"/>
        </w:rPr>
        <w:t xml:space="preserve"> due to grant and council cuts. </w:t>
      </w:r>
      <w:r w:rsidRPr="009A196A">
        <w:rPr>
          <w:rFonts w:eastAsia="Times New Roman" w:cs="Microsoft Sans Serif"/>
          <w:i/>
          <w:lang w:eastAsia="en-GB"/>
        </w:rPr>
        <w:t xml:space="preserve">These have not bottomed out yet and </w:t>
      </w:r>
      <w:r w:rsidRPr="009A196A">
        <w:rPr>
          <w:rFonts w:eastAsia="Times New Roman" w:cs="Microsoft Sans Serif"/>
          <w:i/>
          <w:lang w:eastAsia="en-GB"/>
        </w:rPr>
        <w:lastRenderedPageBreak/>
        <w:t>the uncertainty surrounding future spending plans is driving staff out of the service. This will lead to more fragmented and patchy delivery.</w:t>
      </w:r>
    </w:p>
    <w:p w:rsidR="00D9379F" w:rsidRDefault="00D9379F" w:rsidP="0080520D">
      <w:pPr>
        <w:spacing w:after="0" w:line="240" w:lineRule="auto"/>
        <w:ind w:left="720"/>
        <w:rPr>
          <w:rFonts w:eastAsia="Times New Roman" w:cs="Microsoft Sans Serif"/>
          <w:i/>
          <w:lang w:eastAsia="en-GB"/>
        </w:rPr>
      </w:pPr>
    </w:p>
    <w:p w:rsidR="0080520D" w:rsidRDefault="0080520D" w:rsidP="001747B3">
      <w:pPr>
        <w:spacing w:after="0" w:line="240" w:lineRule="auto"/>
        <w:rPr>
          <w:rFonts w:eastAsia="Times New Roman" w:cs="Microsoft Sans Serif"/>
          <w:lang w:eastAsia="en-GB"/>
        </w:rPr>
      </w:pPr>
      <w:r>
        <w:rPr>
          <w:rFonts w:eastAsia="Times New Roman" w:cs="Microsoft Sans Serif"/>
          <w:lang w:eastAsia="en-GB"/>
        </w:rPr>
        <w:t xml:space="preserve">Closely linked to funding </w:t>
      </w:r>
      <w:r w:rsidR="001747B3">
        <w:rPr>
          <w:rFonts w:eastAsia="Times New Roman" w:cs="Microsoft Sans Serif"/>
          <w:lang w:eastAsia="en-GB"/>
        </w:rPr>
        <w:t xml:space="preserve">issues </w:t>
      </w:r>
      <w:r>
        <w:rPr>
          <w:rFonts w:eastAsia="Times New Roman" w:cs="Microsoft Sans Serif"/>
          <w:lang w:eastAsia="en-GB"/>
        </w:rPr>
        <w:t>were comments on affordability:</w:t>
      </w:r>
    </w:p>
    <w:p w:rsidR="0080520D" w:rsidRDefault="0080520D" w:rsidP="00CD3416">
      <w:pPr>
        <w:spacing w:after="0" w:line="240" w:lineRule="auto"/>
        <w:ind w:left="720"/>
        <w:rPr>
          <w:rFonts w:eastAsia="Times New Roman" w:cs="Microsoft Sans Serif"/>
          <w:lang w:eastAsia="en-GB"/>
        </w:rPr>
      </w:pPr>
    </w:p>
    <w:p w:rsidR="001747B3" w:rsidRDefault="001747B3" w:rsidP="0080520D">
      <w:pPr>
        <w:spacing w:after="0" w:line="240" w:lineRule="auto"/>
        <w:ind w:left="720"/>
        <w:rPr>
          <w:rFonts w:eastAsia="Times New Roman" w:cs="Microsoft Sans Serif"/>
          <w:i/>
          <w:lang w:eastAsia="en-GB"/>
        </w:rPr>
      </w:pPr>
      <w:r w:rsidRPr="00CD3416">
        <w:rPr>
          <w:rFonts w:eastAsia="Times New Roman" w:cs="Microsoft Sans Serif"/>
          <w:i/>
          <w:lang w:eastAsia="en-GB"/>
        </w:rPr>
        <w:t>The question of affordability is huge as we can</w:t>
      </w:r>
      <w:r>
        <w:rPr>
          <w:rFonts w:eastAsia="Times New Roman" w:cs="Microsoft Sans Serif"/>
          <w:i/>
          <w:lang w:eastAsia="en-GB"/>
        </w:rPr>
        <w:t xml:space="preserve"> no longer subsidise costs.</w:t>
      </w:r>
    </w:p>
    <w:p w:rsidR="001747B3" w:rsidRDefault="001747B3" w:rsidP="0080520D">
      <w:pPr>
        <w:spacing w:after="0" w:line="240" w:lineRule="auto"/>
        <w:ind w:left="720"/>
        <w:rPr>
          <w:rFonts w:eastAsia="Times New Roman" w:cs="Microsoft Sans Serif"/>
          <w:i/>
          <w:lang w:eastAsia="en-GB"/>
        </w:rPr>
      </w:pPr>
    </w:p>
    <w:p w:rsidR="00E22C2D" w:rsidRDefault="00E22C2D" w:rsidP="0080520D">
      <w:pPr>
        <w:spacing w:after="0" w:line="240" w:lineRule="auto"/>
        <w:ind w:left="720"/>
        <w:rPr>
          <w:rFonts w:eastAsia="Times New Roman" w:cs="Microsoft Sans Serif"/>
          <w:i/>
          <w:lang w:eastAsia="en-GB"/>
        </w:rPr>
      </w:pPr>
      <w:r w:rsidRPr="00157FE6">
        <w:rPr>
          <w:rFonts w:eastAsia="Times New Roman" w:cs="Microsoft Sans Serif"/>
          <w:i/>
          <w:lang w:eastAsia="en-GB"/>
        </w:rPr>
        <w:t>As the grant has reduced we rely more heavily on schools buying back additional support.</w:t>
      </w:r>
      <w:r>
        <w:rPr>
          <w:rFonts w:eastAsia="Times New Roman" w:cs="Microsoft Sans Serif"/>
          <w:i/>
          <w:lang w:eastAsia="en-GB"/>
        </w:rPr>
        <w:t xml:space="preserve"> </w:t>
      </w:r>
      <w:r w:rsidRPr="00157FE6">
        <w:rPr>
          <w:rFonts w:eastAsia="Times New Roman" w:cs="Microsoft Sans Serif"/>
          <w:i/>
          <w:lang w:eastAsia="en-GB"/>
        </w:rPr>
        <w:t xml:space="preserve">Some of these </w:t>
      </w:r>
      <w:r>
        <w:rPr>
          <w:rFonts w:eastAsia="Times New Roman" w:cs="Microsoft Sans Serif"/>
          <w:i/>
          <w:lang w:eastAsia="en-GB"/>
        </w:rPr>
        <w:t>costs are passed onto parents. M</w:t>
      </w:r>
      <w:r w:rsidRPr="00157FE6">
        <w:rPr>
          <w:rFonts w:eastAsia="Times New Roman" w:cs="Microsoft Sans Serif"/>
          <w:i/>
          <w:lang w:eastAsia="en-GB"/>
        </w:rPr>
        <w:t>any</w:t>
      </w:r>
      <w:r>
        <w:rPr>
          <w:rFonts w:eastAsia="Times New Roman" w:cs="Microsoft Sans Serif"/>
          <w:i/>
          <w:lang w:eastAsia="en-GB"/>
        </w:rPr>
        <w:t xml:space="preserve"> find it difficult to pay. </w:t>
      </w:r>
    </w:p>
    <w:p w:rsidR="00E22C2D" w:rsidRDefault="00E22C2D" w:rsidP="0080520D">
      <w:pPr>
        <w:spacing w:after="0" w:line="240" w:lineRule="auto"/>
        <w:ind w:left="720"/>
        <w:rPr>
          <w:rFonts w:eastAsia="Times New Roman" w:cs="Microsoft Sans Serif"/>
          <w:i/>
          <w:lang w:eastAsia="en-GB"/>
        </w:rPr>
      </w:pPr>
    </w:p>
    <w:p w:rsidR="0080520D" w:rsidRPr="00C32FC6" w:rsidRDefault="0080520D" w:rsidP="0080520D">
      <w:pPr>
        <w:spacing w:after="0" w:line="240" w:lineRule="auto"/>
        <w:ind w:left="720"/>
        <w:rPr>
          <w:rFonts w:eastAsia="Times New Roman" w:cs="Microsoft Sans Serif"/>
          <w:i/>
          <w:lang w:eastAsia="en-GB"/>
        </w:rPr>
      </w:pPr>
      <w:r>
        <w:rPr>
          <w:rFonts w:eastAsia="Times New Roman" w:cs="Microsoft Sans Serif"/>
          <w:i/>
          <w:lang w:eastAsia="en-GB"/>
        </w:rPr>
        <w:t>Due to DfE</w:t>
      </w:r>
      <w:r w:rsidRPr="00C32FC6">
        <w:rPr>
          <w:rFonts w:eastAsia="Times New Roman" w:cs="Microsoft Sans Serif"/>
          <w:i/>
          <w:lang w:eastAsia="en-GB"/>
        </w:rPr>
        <w:t xml:space="preserve"> and local authority funding cuts, most music providers are having to increase their costs to the 'consumer' (schools and families) - music teachers still need to be paid and core organisational overheads covered. The cost therefore for music lessons is becoming less affordable to parents/schools. Music hours are decreasing - not increasing. Hub Partners are not there to provide 'free' musi</w:t>
      </w:r>
      <w:r>
        <w:rPr>
          <w:rFonts w:eastAsia="Times New Roman" w:cs="Microsoft Sans Serif"/>
          <w:i/>
          <w:lang w:eastAsia="en-GB"/>
        </w:rPr>
        <w:t>c tuition (i.e. as 'volunteers'</w:t>
      </w:r>
      <w:r w:rsidRPr="00C32FC6">
        <w:rPr>
          <w:rFonts w:eastAsia="Times New Roman" w:cs="Microsoft Sans Serif"/>
          <w:i/>
          <w:lang w:eastAsia="en-GB"/>
        </w:rPr>
        <w:t>) - they are real people who need to earn a living. Music is becoming elitist under this Government. Music is no longer affordable for all.</w:t>
      </w:r>
    </w:p>
    <w:p w:rsidR="0080520D" w:rsidRDefault="0080520D" w:rsidP="00CD3416">
      <w:pPr>
        <w:spacing w:after="0" w:line="240" w:lineRule="auto"/>
        <w:ind w:left="720"/>
        <w:rPr>
          <w:rFonts w:eastAsia="Times New Roman" w:cs="Microsoft Sans Serif"/>
          <w:lang w:eastAsia="en-GB"/>
        </w:rPr>
      </w:pPr>
    </w:p>
    <w:p w:rsidR="0080520D" w:rsidRDefault="0080520D" w:rsidP="0080520D">
      <w:pPr>
        <w:spacing w:after="0" w:line="240" w:lineRule="auto"/>
        <w:ind w:left="720"/>
        <w:rPr>
          <w:rFonts w:eastAsia="Times New Roman" w:cs="Microsoft Sans Serif"/>
          <w:i/>
          <w:lang w:eastAsia="en-GB"/>
        </w:rPr>
      </w:pPr>
      <w:r w:rsidRPr="005B701D">
        <w:rPr>
          <w:rFonts w:eastAsia="Times New Roman" w:cs="Microsoft Sans Serif"/>
          <w:i/>
          <w:lang w:eastAsia="en-GB"/>
        </w:rPr>
        <w:t>Do our progression routes</w:t>
      </w:r>
      <w:r>
        <w:rPr>
          <w:rFonts w:eastAsia="Times New Roman" w:cs="Microsoft Sans Serif"/>
          <w:i/>
          <w:lang w:eastAsia="en-GB"/>
        </w:rPr>
        <w:t xml:space="preserve"> offer good value for money? Yes.</w:t>
      </w:r>
      <w:r w:rsidRPr="005B701D">
        <w:rPr>
          <w:rFonts w:eastAsia="Times New Roman" w:cs="Microsoft Sans Serif"/>
          <w:i/>
          <w:lang w:eastAsia="en-GB"/>
        </w:rPr>
        <w:t xml:space="preserve">  Can all parents afford the charges we are forced to levy for progression routes? </w:t>
      </w:r>
      <w:r>
        <w:rPr>
          <w:rFonts w:eastAsia="Times New Roman" w:cs="Microsoft Sans Serif"/>
          <w:i/>
          <w:lang w:eastAsia="en-GB"/>
        </w:rPr>
        <w:t>–</w:t>
      </w:r>
      <w:r w:rsidRPr="005B701D">
        <w:rPr>
          <w:rFonts w:eastAsia="Times New Roman" w:cs="Microsoft Sans Serif"/>
          <w:i/>
          <w:lang w:eastAsia="en-GB"/>
        </w:rPr>
        <w:t xml:space="preserve"> No</w:t>
      </w:r>
      <w:r>
        <w:rPr>
          <w:rFonts w:eastAsia="Times New Roman" w:cs="Microsoft Sans Serif"/>
          <w:i/>
          <w:lang w:eastAsia="en-GB"/>
        </w:rPr>
        <w:t>.</w:t>
      </w:r>
    </w:p>
    <w:p w:rsidR="0080520D" w:rsidRDefault="0080520D" w:rsidP="00CD3416">
      <w:pPr>
        <w:spacing w:after="0" w:line="240" w:lineRule="auto"/>
        <w:ind w:left="720"/>
        <w:rPr>
          <w:rFonts w:eastAsia="Times New Roman" w:cs="Microsoft Sans Serif"/>
          <w:lang w:eastAsia="en-GB"/>
        </w:rPr>
      </w:pPr>
    </w:p>
    <w:p w:rsidR="0080520D" w:rsidRDefault="001747B3" w:rsidP="001747B3">
      <w:pPr>
        <w:spacing w:after="0" w:line="240" w:lineRule="auto"/>
        <w:rPr>
          <w:rFonts w:eastAsia="Times New Roman" w:cs="Microsoft Sans Serif"/>
          <w:lang w:eastAsia="en-GB"/>
        </w:rPr>
      </w:pPr>
      <w:r>
        <w:rPr>
          <w:rFonts w:eastAsia="Times New Roman" w:cs="Microsoft Sans Serif"/>
          <w:lang w:eastAsia="en-GB"/>
        </w:rPr>
        <w:t>Relationships with schools featured in comments from some hub leaders, particularly in relation to progression:</w:t>
      </w:r>
    </w:p>
    <w:p w:rsidR="001747B3" w:rsidRDefault="001747B3" w:rsidP="001747B3">
      <w:pPr>
        <w:spacing w:after="0" w:line="240" w:lineRule="auto"/>
        <w:rPr>
          <w:rFonts w:eastAsia="Times New Roman" w:cs="Microsoft Sans Serif"/>
          <w:lang w:eastAsia="en-GB"/>
        </w:rPr>
      </w:pPr>
    </w:p>
    <w:p w:rsidR="001747B3" w:rsidRDefault="001747B3" w:rsidP="001747B3">
      <w:pPr>
        <w:spacing w:after="0" w:line="240" w:lineRule="auto"/>
        <w:ind w:left="720"/>
        <w:rPr>
          <w:rFonts w:eastAsia="Times New Roman" w:cs="Microsoft Sans Serif"/>
          <w:i/>
          <w:lang w:eastAsia="en-GB"/>
        </w:rPr>
      </w:pPr>
      <w:r w:rsidRPr="003D62B8">
        <w:rPr>
          <w:rFonts w:eastAsia="Times New Roman" w:cs="Microsoft Sans Serif"/>
          <w:i/>
          <w:lang w:eastAsia="en-GB"/>
        </w:rPr>
        <w:t>Where obstacles exist in accessing progression routes these are frequently out of our hands:  schools are gatekeepers in allowing learners access to progression routes in many cases.</w:t>
      </w:r>
    </w:p>
    <w:p w:rsidR="001747B3" w:rsidRDefault="001747B3" w:rsidP="001747B3">
      <w:pPr>
        <w:spacing w:after="0" w:line="240" w:lineRule="auto"/>
        <w:ind w:left="720"/>
        <w:rPr>
          <w:rFonts w:eastAsia="Times New Roman" w:cs="Microsoft Sans Serif"/>
          <w:i/>
          <w:lang w:eastAsia="en-GB"/>
        </w:rPr>
      </w:pPr>
    </w:p>
    <w:p w:rsidR="0068190B" w:rsidRDefault="0068190B" w:rsidP="0068190B">
      <w:pPr>
        <w:spacing w:after="0" w:line="240" w:lineRule="auto"/>
        <w:ind w:left="720"/>
        <w:rPr>
          <w:rFonts w:eastAsia="Times New Roman" w:cs="Microsoft Sans Serif"/>
          <w:i/>
          <w:lang w:eastAsia="en-GB"/>
        </w:rPr>
      </w:pPr>
      <w:r>
        <w:rPr>
          <w:rFonts w:eastAsia="Times New Roman" w:cs="Microsoft Sans Serif"/>
          <w:i/>
          <w:lang w:eastAsia="en-GB"/>
        </w:rPr>
        <w:t>W</w:t>
      </w:r>
      <w:r w:rsidRPr="00284704">
        <w:rPr>
          <w:rFonts w:eastAsia="Times New Roman" w:cs="Microsoft Sans Serif"/>
          <w:i/>
          <w:lang w:eastAsia="en-GB"/>
        </w:rPr>
        <w:t xml:space="preserve">e </w:t>
      </w:r>
      <w:r>
        <w:rPr>
          <w:rFonts w:eastAsia="Times New Roman" w:cs="Microsoft Sans Serif"/>
          <w:i/>
          <w:lang w:eastAsia="en-GB"/>
        </w:rPr>
        <w:t>are able to provide this</w:t>
      </w:r>
      <w:r w:rsidRPr="00284704">
        <w:rPr>
          <w:rFonts w:eastAsia="Times New Roman" w:cs="Microsoft Sans Serif"/>
          <w:i/>
          <w:lang w:eastAsia="en-GB"/>
        </w:rPr>
        <w:t>, but requ</w:t>
      </w:r>
      <w:r>
        <w:rPr>
          <w:rFonts w:eastAsia="Times New Roman" w:cs="Microsoft Sans Serif"/>
          <w:i/>
          <w:lang w:eastAsia="en-GB"/>
        </w:rPr>
        <w:t>i</w:t>
      </w:r>
      <w:r w:rsidRPr="00284704">
        <w:rPr>
          <w:rFonts w:eastAsia="Times New Roman" w:cs="Microsoft Sans Serif"/>
          <w:i/>
          <w:lang w:eastAsia="en-GB"/>
        </w:rPr>
        <w:t>re the partnership with schools to work for it to happen. There are some schools who chose not to offer progression o</w:t>
      </w:r>
      <w:r>
        <w:rPr>
          <w:rFonts w:eastAsia="Times New Roman" w:cs="Microsoft Sans Serif"/>
          <w:i/>
          <w:lang w:eastAsia="en-GB"/>
        </w:rPr>
        <w:t>p</w:t>
      </w:r>
      <w:r w:rsidRPr="00284704">
        <w:rPr>
          <w:rFonts w:eastAsia="Times New Roman" w:cs="Microsoft Sans Serif"/>
          <w:i/>
          <w:lang w:eastAsia="en-GB"/>
        </w:rPr>
        <w:t>portunities after first access programmes</w:t>
      </w:r>
      <w:r>
        <w:rPr>
          <w:rFonts w:eastAsia="Times New Roman" w:cs="Microsoft Sans Serif"/>
          <w:i/>
          <w:lang w:eastAsia="en-GB"/>
        </w:rPr>
        <w:t>.</w:t>
      </w:r>
    </w:p>
    <w:p w:rsidR="0068190B" w:rsidRDefault="0068190B" w:rsidP="001747B3">
      <w:pPr>
        <w:spacing w:after="0" w:line="240" w:lineRule="auto"/>
        <w:ind w:left="720"/>
        <w:rPr>
          <w:rFonts w:eastAsia="Times New Roman" w:cs="Microsoft Sans Serif"/>
          <w:i/>
          <w:lang w:eastAsia="en-GB"/>
        </w:rPr>
      </w:pPr>
    </w:p>
    <w:p w:rsidR="001747B3" w:rsidRDefault="001747B3" w:rsidP="001747B3">
      <w:pPr>
        <w:spacing w:after="0" w:line="240" w:lineRule="auto"/>
        <w:ind w:left="720"/>
        <w:rPr>
          <w:rFonts w:eastAsia="Times New Roman" w:cs="Microsoft Sans Serif"/>
          <w:i/>
          <w:lang w:eastAsia="en-GB"/>
        </w:rPr>
      </w:pPr>
      <w:r w:rsidRPr="00835911">
        <w:rPr>
          <w:rFonts w:eastAsia="Times New Roman" w:cs="Microsoft Sans Serif"/>
          <w:i/>
          <w:lang w:eastAsia="en-GB"/>
        </w:rPr>
        <w:t>I believe that we have the mechanisms in place that can provide ready access to high quality and meaningful musical opportunities for all young people and that the progression routes are clearly defined.  However, this only works when we are able to engage in a full and frank conversation with school leaders who 'get it'.  Sadly, this continues to be a major issue and previous success is no guarantee of ongoing engagement.  The majority of school leaders do work well with us to the benefit of their young people.  However, there remains a core of sceptics that will not engage in this conversation and the continued move to academy status in so many schools seems to be exacerbating this trend. My fear is that this route will lead back to a very fragmented music delivery model with high quality work in one location and few if any opportunities, in some cases, literally next door.  The situation would be considerably improved if the DfE or OFSTED would 'put their money where their mouths are' and give hub leaders some authority to challenge schools rather than telling us in one breath that this is what we must do whilst at the same time refusing to give us any authority or powers.</w:t>
      </w:r>
    </w:p>
    <w:p w:rsidR="001747B3" w:rsidRDefault="001747B3" w:rsidP="001747B3">
      <w:pPr>
        <w:spacing w:after="0" w:line="240" w:lineRule="auto"/>
        <w:rPr>
          <w:rFonts w:eastAsia="Times New Roman" w:cs="Microsoft Sans Serif"/>
          <w:lang w:eastAsia="en-GB"/>
        </w:rPr>
      </w:pPr>
    </w:p>
    <w:p w:rsidR="00CD3416" w:rsidRDefault="00CD3416" w:rsidP="00CD3416">
      <w:pPr>
        <w:spacing w:after="0" w:line="240" w:lineRule="auto"/>
        <w:ind w:left="720"/>
        <w:rPr>
          <w:rFonts w:eastAsia="Times New Roman" w:cs="Microsoft Sans Serif"/>
          <w:i/>
          <w:lang w:eastAsia="en-GB"/>
        </w:rPr>
      </w:pPr>
      <w:r w:rsidRPr="00CD3416">
        <w:rPr>
          <w:rFonts w:eastAsia="Times New Roman" w:cs="Microsoft Sans Serif"/>
          <w:i/>
          <w:lang w:eastAsia="en-GB"/>
        </w:rPr>
        <w:t xml:space="preserve">First access programmes are well embedded but progression is patchy depending </w:t>
      </w:r>
      <w:r>
        <w:rPr>
          <w:rFonts w:eastAsia="Times New Roman" w:cs="Microsoft Sans Serif"/>
          <w:i/>
          <w:lang w:eastAsia="en-GB"/>
        </w:rPr>
        <w:t xml:space="preserve">on schools' ability to pay.  </w:t>
      </w:r>
      <w:r w:rsidRPr="00CD3416">
        <w:rPr>
          <w:rFonts w:eastAsia="Times New Roman" w:cs="Microsoft Sans Serif"/>
          <w:i/>
          <w:lang w:eastAsia="en-GB"/>
        </w:rPr>
        <w:t>Number of progressing pupils has declined as schools are charging to cover cost of delivery and the 'squeezed middle' can no longer afford fees.</w:t>
      </w:r>
      <w:r w:rsidR="008B25CB">
        <w:rPr>
          <w:rFonts w:eastAsia="Times New Roman" w:cs="Microsoft Sans Serif"/>
          <w:i/>
          <w:lang w:eastAsia="en-GB"/>
        </w:rPr>
        <w:t xml:space="preserve"> </w:t>
      </w:r>
      <w:r w:rsidRPr="00CD3416">
        <w:rPr>
          <w:rFonts w:eastAsia="Times New Roman" w:cs="Microsoft Sans Serif"/>
          <w:i/>
          <w:lang w:eastAsia="en-GB"/>
        </w:rPr>
        <w:t>Progression to ensembles has not improved as we now have to charge for them, and parents can't afford both</w:t>
      </w:r>
      <w:r>
        <w:rPr>
          <w:rFonts w:eastAsia="Times New Roman" w:cs="Microsoft Sans Serif"/>
          <w:i/>
          <w:lang w:eastAsia="en-GB"/>
        </w:rPr>
        <w:t xml:space="preserve"> lessons and ensemble fees.  </w:t>
      </w:r>
      <w:r w:rsidRPr="00CD3416">
        <w:rPr>
          <w:rFonts w:eastAsia="Times New Roman" w:cs="Microsoft Sans Serif"/>
          <w:i/>
          <w:lang w:eastAsia="en-GB"/>
        </w:rPr>
        <w:t xml:space="preserve">I think we are just about holding the ground in terms of </w:t>
      </w:r>
      <w:r w:rsidRPr="00CD3416">
        <w:rPr>
          <w:rFonts w:eastAsia="Times New Roman" w:cs="Microsoft Sans Serif"/>
          <w:i/>
          <w:lang w:eastAsia="en-GB"/>
        </w:rPr>
        <w:lastRenderedPageBreak/>
        <w:t>numbers engaging, but definitely many fewer staying the distance in terms of progression to intermediate and advanced levels of attainment.</w:t>
      </w:r>
    </w:p>
    <w:p w:rsidR="0068190B" w:rsidRDefault="0068190B" w:rsidP="00CD3416">
      <w:pPr>
        <w:spacing w:after="0" w:line="240" w:lineRule="auto"/>
        <w:ind w:left="720"/>
        <w:rPr>
          <w:rFonts w:eastAsia="Times New Roman" w:cs="Microsoft Sans Serif"/>
          <w:i/>
          <w:lang w:eastAsia="en-GB"/>
        </w:rPr>
      </w:pPr>
    </w:p>
    <w:p w:rsidR="0068190B" w:rsidRDefault="0068190B" w:rsidP="0068190B">
      <w:pPr>
        <w:spacing w:after="0" w:line="240" w:lineRule="auto"/>
        <w:ind w:left="720"/>
        <w:rPr>
          <w:rFonts w:eastAsia="Times New Roman" w:cs="Microsoft Sans Serif"/>
          <w:i/>
          <w:lang w:eastAsia="en-GB"/>
        </w:rPr>
      </w:pPr>
      <w:r w:rsidRPr="00011A68">
        <w:rPr>
          <w:rFonts w:eastAsia="Times New Roman" w:cs="Microsoft Sans Serif"/>
          <w:i/>
          <w:lang w:eastAsia="en-GB"/>
        </w:rPr>
        <w:t>I am unable to provide progression routes for all y</w:t>
      </w:r>
      <w:r>
        <w:rPr>
          <w:rFonts w:eastAsia="Times New Roman" w:cs="Microsoft Sans Serif"/>
          <w:i/>
          <w:lang w:eastAsia="en-GB"/>
        </w:rPr>
        <w:t xml:space="preserve">oung </w:t>
      </w:r>
      <w:r w:rsidRPr="00011A68">
        <w:rPr>
          <w:rFonts w:eastAsia="Times New Roman" w:cs="Microsoft Sans Serif"/>
          <w:i/>
          <w:lang w:eastAsia="en-GB"/>
        </w:rPr>
        <w:t>p</w:t>
      </w:r>
      <w:r>
        <w:rPr>
          <w:rFonts w:eastAsia="Times New Roman" w:cs="Microsoft Sans Serif"/>
          <w:i/>
          <w:lang w:eastAsia="en-GB"/>
        </w:rPr>
        <w:t>eople</w:t>
      </w:r>
      <w:r w:rsidRPr="00011A68">
        <w:rPr>
          <w:rFonts w:eastAsia="Times New Roman" w:cs="Microsoft Sans Serif"/>
          <w:i/>
          <w:lang w:eastAsia="en-GB"/>
        </w:rPr>
        <w:t xml:space="preserve"> to continue learning due to several barriers.  They are:  lack of engagement in some schools which Ofsted have given us a remit to improve</w:t>
      </w:r>
      <w:r>
        <w:rPr>
          <w:rFonts w:eastAsia="Times New Roman" w:cs="Microsoft Sans Serif"/>
          <w:i/>
          <w:lang w:eastAsia="en-GB"/>
        </w:rPr>
        <w:t xml:space="preserve">; </w:t>
      </w:r>
      <w:r w:rsidRPr="00011A68">
        <w:rPr>
          <w:rFonts w:eastAsia="Times New Roman" w:cs="Microsoft Sans Serif"/>
          <w:i/>
          <w:lang w:eastAsia="en-GB"/>
        </w:rPr>
        <w:t>lack of continuing funding for instruments, with the consequence that certain instrumental disciplines are diminishing in favour of cheaper instruments</w:t>
      </w:r>
      <w:r>
        <w:rPr>
          <w:rFonts w:eastAsia="Times New Roman" w:cs="Microsoft Sans Serif"/>
          <w:i/>
          <w:lang w:eastAsia="en-GB"/>
        </w:rPr>
        <w:t xml:space="preserve">; </w:t>
      </w:r>
      <w:r w:rsidRPr="00011A68">
        <w:rPr>
          <w:rFonts w:eastAsia="Times New Roman" w:cs="Microsoft Sans Serif"/>
          <w:i/>
          <w:lang w:eastAsia="en-GB"/>
        </w:rPr>
        <w:t>pressure on the school curriculum focussing on English Maths and Science which reduces the available teaching time (more schools asking for afternoon, lunchtime or after school lessons) and thus reduces our capacity to provide lessons for all</w:t>
      </w:r>
      <w:r>
        <w:rPr>
          <w:rFonts w:eastAsia="Times New Roman" w:cs="Microsoft Sans Serif"/>
          <w:i/>
          <w:lang w:eastAsia="en-GB"/>
        </w:rPr>
        <w:t>.</w:t>
      </w:r>
    </w:p>
    <w:p w:rsidR="00835911" w:rsidRDefault="00835911" w:rsidP="00CD3416">
      <w:pPr>
        <w:spacing w:after="0" w:line="240" w:lineRule="auto"/>
        <w:ind w:left="720"/>
        <w:rPr>
          <w:rFonts w:eastAsia="Times New Roman" w:cs="Microsoft Sans Serif"/>
          <w:i/>
          <w:lang w:eastAsia="en-GB"/>
        </w:rPr>
      </w:pPr>
    </w:p>
    <w:p w:rsidR="00923897" w:rsidRPr="008B25CB" w:rsidRDefault="008B25CB" w:rsidP="008B25CB">
      <w:pPr>
        <w:spacing w:after="0" w:line="240" w:lineRule="auto"/>
        <w:rPr>
          <w:rFonts w:eastAsia="Times New Roman" w:cs="Microsoft Sans Serif"/>
          <w:lang w:eastAsia="en-GB"/>
        </w:rPr>
      </w:pPr>
      <w:r>
        <w:rPr>
          <w:rFonts w:eastAsia="Times New Roman" w:cs="Microsoft Sans Serif"/>
          <w:lang w:eastAsia="en-GB"/>
        </w:rPr>
        <w:t>Several hub leaders also commented on quality</w:t>
      </w:r>
      <w:r w:rsidR="002D7212">
        <w:rPr>
          <w:rFonts w:eastAsia="Times New Roman" w:cs="Microsoft Sans Serif"/>
          <w:lang w:eastAsia="en-GB"/>
        </w:rPr>
        <w:t xml:space="preserve"> assurance</w:t>
      </w:r>
      <w:r>
        <w:rPr>
          <w:rFonts w:eastAsia="Times New Roman" w:cs="Microsoft Sans Serif"/>
          <w:lang w:eastAsia="en-GB"/>
        </w:rPr>
        <w:t>:</w:t>
      </w:r>
    </w:p>
    <w:p w:rsidR="001747B3" w:rsidRDefault="001747B3" w:rsidP="00923897">
      <w:pPr>
        <w:spacing w:after="0" w:line="240" w:lineRule="auto"/>
        <w:ind w:left="720"/>
        <w:rPr>
          <w:rFonts w:eastAsia="Times New Roman" w:cs="Microsoft Sans Serif"/>
          <w:i/>
          <w:lang w:eastAsia="en-GB"/>
        </w:rPr>
      </w:pPr>
    </w:p>
    <w:p w:rsidR="001747B3" w:rsidRDefault="001747B3" w:rsidP="00923897">
      <w:pPr>
        <w:spacing w:after="0" w:line="240" w:lineRule="auto"/>
        <w:ind w:left="720"/>
        <w:rPr>
          <w:rFonts w:eastAsia="Times New Roman" w:cs="Microsoft Sans Serif"/>
          <w:i/>
          <w:lang w:eastAsia="en-GB"/>
        </w:rPr>
      </w:pPr>
      <w:r w:rsidRPr="00CD3416">
        <w:rPr>
          <w:rFonts w:eastAsia="Times New Roman" w:cs="Microsoft Sans Serif"/>
          <w:i/>
          <w:lang w:eastAsia="en-GB"/>
        </w:rPr>
        <w:t>Capacity to quality assure has diminished in the fight to produce ACE documentation, and deal with budget cuts, few</w:t>
      </w:r>
      <w:r>
        <w:rPr>
          <w:rFonts w:eastAsia="Times New Roman" w:cs="Microsoft Sans Serif"/>
          <w:i/>
          <w:lang w:eastAsia="en-GB"/>
        </w:rPr>
        <w:t>er staff able to do QA work</w:t>
      </w:r>
    </w:p>
    <w:p w:rsidR="00157FE6" w:rsidRDefault="00157FE6" w:rsidP="00157FE6">
      <w:pPr>
        <w:spacing w:after="0" w:line="240" w:lineRule="auto"/>
        <w:ind w:left="720"/>
        <w:rPr>
          <w:rFonts w:eastAsia="Times New Roman" w:cs="Microsoft Sans Serif"/>
          <w:i/>
          <w:lang w:eastAsia="en-GB"/>
        </w:rPr>
      </w:pPr>
    </w:p>
    <w:p w:rsidR="0085398D" w:rsidRPr="00157FE6" w:rsidRDefault="0085398D" w:rsidP="00157FE6">
      <w:pPr>
        <w:spacing w:after="0" w:line="240" w:lineRule="auto"/>
        <w:ind w:left="720"/>
        <w:rPr>
          <w:rFonts w:eastAsia="Times New Roman" w:cs="Microsoft Sans Serif"/>
          <w:i/>
          <w:lang w:eastAsia="en-GB"/>
        </w:rPr>
      </w:pPr>
      <w:r w:rsidRPr="0085398D">
        <w:rPr>
          <w:rFonts w:eastAsia="Times New Roman" w:cs="Microsoft Sans Serif"/>
          <w:i/>
          <w:lang w:eastAsia="en-GB"/>
        </w:rPr>
        <w:t>Although I have indicated that our ability to QA teaching in the field has improved, this has been due to our training senior/experienced tutors to support this work. One of our targets was to reduce the formal QA process down from every 15 months to a 12 month period. However, with a significant further cut in funding from April 2014, this wi</w:t>
      </w:r>
      <w:r w:rsidRPr="00157FE6">
        <w:rPr>
          <w:rFonts w:eastAsia="Times New Roman" w:cs="Microsoft Sans Serif"/>
          <w:i/>
          <w:lang w:eastAsia="en-GB"/>
        </w:rPr>
        <w:t>ll once again be the reverse.</w:t>
      </w:r>
    </w:p>
    <w:p w:rsidR="0085398D" w:rsidRDefault="0085398D" w:rsidP="000F0303">
      <w:pPr>
        <w:spacing w:after="0" w:line="240" w:lineRule="auto"/>
        <w:ind w:left="720"/>
        <w:rPr>
          <w:rFonts w:eastAsia="Times New Roman" w:cs="Microsoft Sans Serif"/>
          <w:i/>
          <w:lang w:eastAsia="en-GB"/>
        </w:rPr>
      </w:pPr>
    </w:p>
    <w:p w:rsidR="000F0303" w:rsidRPr="000F0303" w:rsidRDefault="000F0303" w:rsidP="000F0303">
      <w:pPr>
        <w:spacing w:after="0" w:line="240" w:lineRule="auto"/>
        <w:ind w:left="720"/>
        <w:rPr>
          <w:rFonts w:eastAsia="Times New Roman" w:cs="Microsoft Sans Serif"/>
          <w:i/>
          <w:lang w:eastAsia="en-GB"/>
        </w:rPr>
      </w:pPr>
      <w:r w:rsidRPr="000F0303">
        <w:rPr>
          <w:rFonts w:eastAsia="Times New Roman" w:cs="Microsoft Sans Serif"/>
          <w:i/>
          <w:lang w:eastAsia="en-GB"/>
        </w:rPr>
        <w:t>Constantly reducing national funding has impacted on our services' ability to provide high quality musical opportunities. Staffing hours are having to be reduced. Quality assurance is suffering as a result. ACE contractual requirements are creating a lot of additional paperwork. Prioritising management time is becoming increasing challenging.</w:t>
      </w:r>
    </w:p>
    <w:p w:rsidR="000F0303" w:rsidRDefault="000F0303" w:rsidP="000F0303">
      <w:pPr>
        <w:spacing w:after="0" w:line="240" w:lineRule="auto"/>
        <w:ind w:left="720"/>
        <w:rPr>
          <w:rFonts w:eastAsia="Times New Roman" w:cs="Microsoft Sans Serif"/>
          <w:lang w:eastAsia="en-GB"/>
        </w:rPr>
      </w:pPr>
    </w:p>
    <w:p w:rsidR="001B58CD" w:rsidRDefault="001B58CD" w:rsidP="001B58CD">
      <w:pPr>
        <w:spacing w:after="0" w:line="240" w:lineRule="auto"/>
        <w:ind w:left="720"/>
        <w:rPr>
          <w:rFonts w:eastAsia="Times New Roman" w:cs="Microsoft Sans Serif"/>
          <w:i/>
          <w:lang w:eastAsia="en-GB"/>
        </w:rPr>
      </w:pPr>
      <w:r w:rsidRPr="001B58CD">
        <w:rPr>
          <w:rFonts w:eastAsia="Times New Roman" w:cs="Microsoft Sans Serif"/>
          <w:i/>
          <w:lang w:eastAsia="en-GB"/>
        </w:rPr>
        <w:t>Our own Quality Assurance procedures remain strong, but there is no longer any national monitoring which would enable us</w:t>
      </w:r>
      <w:r w:rsidR="00D85D4F">
        <w:rPr>
          <w:rFonts w:eastAsia="Times New Roman" w:cs="Microsoft Sans Serif"/>
          <w:i/>
          <w:lang w:eastAsia="en-GB"/>
        </w:rPr>
        <w:t xml:space="preserve"> to subject ourselves to scruti</w:t>
      </w:r>
      <w:r w:rsidRPr="001B58CD">
        <w:rPr>
          <w:rFonts w:eastAsia="Times New Roman" w:cs="Microsoft Sans Serif"/>
          <w:i/>
          <w:lang w:eastAsia="en-GB"/>
        </w:rPr>
        <w:t>ny and comparison.</w:t>
      </w:r>
    </w:p>
    <w:p w:rsidR="009A196A" w:rsidRDefault="009A196A" w:rsidP="009A196A">
      <w:pPr>
        <w:spacing w:after="0" w:line="240" w:lineRule="auto"/>
        <w:ind w:left="720"/>
        <w:rPr>
          <w:rFonts w:eastAsia="Times New Roman" w:cs="Microsoft Sans Serif"/>
          <w:i/>
          <w:lang w:eastAsia="en-GB"/>
        </w:rPr>
      </w:pPr>
    </w:p>
    <w:p w:rsidR="00246C82" w:rsidRPr="00923897" w:rsidRDefault="00246C82" w:rsidP="00246C82">
      <w:pPr>
        <w:spacing w:after="0" w:line="240" w:lineRule="auto"/>
        <w:ind w:left="720"/>
        <w:rPr>
          <w:rFonts w:eastAsia="Times New Roman" w:cs="Microsoft Sans Serif"/>
          <w:i/>
          <w:lang w:eastAsia="en-GB"/>
        </w:rPr>
      </w:pPr>
      <w:r>
        <w:rPr>
          <w:rFonts w:eastAsia="Times New Roman" w:cs="Microsoft Sans Serif"/>
          <w:i/>
          <w:lang w:eastAsia="en-GB"/>
        </w:rPr>
        <w:t>Since ACE has become the fund holder</w:t>
      </w:r>
      <w:r w:rsidRPr="00923897">
        <w:rPr>
          <w:rFonts w:eastAsia="Times New Roman" w:cs="Microsoft Sans Serif"/>
          <w:i/>
          <w:lang w:eastAsia="en-GB"/>
        </w:rPr>
        <w:t>, all they are concerned about is meaningless paper. They are not concerned about standards in teaching and learning, quality of provision, assessment for learning. They are more concerned with quantity rather than quality.</w:t>
      </w:r>
    </w:p>
    <w:p w:rsidR="00744358" w:rsidRDefault="00744358" w:rsidP="009A196A">
      <w:pPr>
        <w:spacing w:after="0" w:line="240" w:lineRule="auto"/>
        <w:ind w:left="720"/>
        <w:rPr>
          <w:rFonts w:eastAsia="Times New Roman" w:cs="Microsoft Sans Serif"/>
          <w:i/>
          <w:lang w:eastAsia="en-GB"/>
        </w:rPr>
      </w:pPr>
    </w:p>
    <w:p w:rsidR="0068190B" w:rsidRDefault="0068190B" w:rsidP="0068190B">
      <w:pPr>
        <w:spacing w:after="0" w:line="240" w:lineRule="auto"/>
        <w:ind w:left="720"/>
        <w:rPr>
          <w:rFonts w:eastAsia="Times New Roman" w:cs="Microsoft Sans Serif"/>
          <w:i/>
          <w:lang w:eastAsia="en-GB"/>
        </w:rPr>
      </w:pPr>
      <w:r w:rsidRPr="00FA5EFB">
        <w:rPr>
          <w:rFonts w:eastAsia="Times New Roman" w:cs="Microsoft Sans Serif"/>
          <w:i/>
          <w:lang w:eastAsia="en-GB"/>
        </w:rPr>
        <w:t>Strongly disagree about quality assurance because, even though we have increased expertise in recent years, decreases in funding have led to significantly reduced time availa</w:t>
      </w:r>
      <w:r w:rsidR="00C95EF1">
        <w:rPr>
          <w:rFonts w:eastAsia="Times New Roman" w:cs="Microsoft Sans Serif"/>
          <w:i/>
          <w:lang w:eastAsia="en-GB"/>
        </w:rPr>
        <w:t>bility within the team</w:t>
      </w:r>
      <w:r w:rsidRPr="00FA5EFB">
        <w:rPr>
          <w:rFonts w:eastAsia="Times New Roman" w:cs="Microsoft Sans Serif"/>
          <w:i/>
          <w:lang w:eastAsia="en-GB"/>
        </w:rPr>
        <w:t xml:space="preserve"> to keep on top of QA.  We're reduced to firefighting on a shoestring.</w:t>
      </w:r>
    </w:p>
    <w:p w:rsidR="00744358" w:rsidRDefault="00744358" w:rsidP="009A196A">
      <w:pPr>
        <w:spacing w:after="0" w:line="240" w:lineRule="auto"/>
        <w:ind w:left="720"/>
        <w:rPr>
          <w:rFonts w:eastAsia="Times New Roman" w:cs="Microsoft Sans Serif"/>
          <w:i/>
          <w:lang w:eastAsia="en-GB"/>
        </w:rPr>
      </w:pPr>
    </w:p>
    <w:p w:rsidR="0068190B" w:rsidRDefault="0068190B" w:rsidP="0068190B">
      <w:pPr>
        <w:spacing w:after="0" w:line="240" w:lineRule="auto"/>
        <w:ind w:left="720"/>
        <w:rPr>
          <w:rFonts w:eastAsia="Times New Roman" w:cs="Microsoft Sans Serif"/>
          <w:i/>
          <w:lang w:eastAsia="en-GB"/>
        </w:rPr>
      </w:pPr>
      <w:r w:rsidRPr="00284704">
        <w:rPr>
          <w:rFonts w:eastAsia="Times New Roman" w:cs="Microsoft Sans Serif"/>
          <w:i/>
          <w:lang w:eastAsia="en-GB"/>
        </w:rPr>
        <w:t>The concern is the our capacity to effectively manage QA and development issues for different sectors (instrumental teachers, schools) and the continual shifting of the focus of our work as demanded by various organisations.</w:t>
      </w:r>
    </w:p>
    <w:p w:rsidR="00744358" w:rsidRDefault="00744358" w:rsidP="009A196A">
      <w:pPr>
        <w:spacing w:after="0" w:line="240" w:lineRule="auto"/>
        <w:ind w:left="720"/>
        <w:rPr>
          <w:rFonts w:eastAsia="Times New Roman" w:cs="Microsoft Sans Serif"/>
          <w:i/>
          <w:lang w:eastAsia="en-GB"/>
        </w:rPr>
      </w:pPr>
    </w:p>
    <w:p w:rsidR="00F77DAC" w:rsidRDefault="00F77DAC" w:rsidP="00F77DAC">
      <w:pPr>
        <w:spacing w:after="0" w:line="240" w:lineRule="auto"/>
        <w:rPr>
          <w:rFonts w:eastAsia="Times New Roman" w:cs="Microsoft Sans Serif"/>
          <w:lang w:eastAsia="en-GB"/>
        </w:rPr>
      </w:pPr>
      <w:r>
        <w:rPr>
          <w:rFonts w:eastAsia="Times New Roman" w:cs="Microsoft Sans Serif"/>
          <w:lang w:eastAsia="en-GB"/>
        </w:rPr>
        <w:t>The issue of capacity and management/staff related issues also came up in other comments:</w:t>
      </w:r>
    </w:p>
    <w:p w:rsidR="00F77DAC" w:rsidRDefault="00F77DAC" w:rsidP="00F77DAC">
      <w:pPr>
        <w:spacing w:after="0" w:line="240" w:lineRule="auto"/>
        <w:rPr>
          <w:rFonts w:eastAsia="Times New Roman" w:cs="Microsoft Sans Serif"/>
          <w:lang w:eastAsia="en-GB"/>
        </w:rPr>
      </w:pPr>
    </w:p>
    <w:p w:rsidR="00F77DAC" w:rsidRDefault="00F77DAC" w:rsidP="00F77DAC">
      <w:pPr>
        <w:spacing w:after="0" w:line="240" w:lineRule="auto"/>
        <w:ind w:left="720"/>
        <w:rPr>
          <w:rFonts w:eastAsia="Times New Roman" w:cs="Microsoft Sans Serif"/>
          <w:i/>
          <w:lang w:eastAsia="en-GB"/>
        </w:rPr>
      </w:pPr>
      <w:r w:rsidRPr="008F1A7E">
        <w:rPr>
          <w:rFonts w:eastAsia="Times New Roman" w:cs="Microsoft Sans Serif"/>
          <w:i/>
          <w:lang w:eastAsia="en-GB"/>
        </w:rPr>
        <w:t>Most Hubs will be working with a very small team in trying to keep all this</w:t>
      </w:r>
      <w:r>
        <w:rPr>
          <w:rFonts w:eastAsia="Times New Roman" w:cs="Microsoft Sans Serif"/>
          <w:i/>
          <w:lang w:eastAsia="en-GB"/>
        </w:rPr>
        <w:t xml:space="preserve"> going given the additional pres</w:t>
      </w:r>
      <w:r w:rsidRPr="008F1A7E">
        <w:rPr>
          <w:rFonts w:eastAsia="Times New Roman" w:cs="Microsoft Sans Serif"/>
          <w:i/>
          <w:lang w:eastAsia="en-GB"/>
        </w:rPr>
        <w:t xml:space="preserve">sures being applied.  As a result, terms and conditions for </w:t>
      </w:r>
      <w:r>
        <w:rPr>
          <w:rFonts w:eastAsia="Times New Roman" w:cs="Microsoft Sans Serif"/>
          <w:i/>
          <w:lang w:eastAsia="en-GB"/>
        </w:rPr>
        <w:t>staff have not improved, but far more</w:t>
      </w:r>
      <w:r w:rsidRPr="008F1A7E">
        <w:rPr>
          <w:rFonts w:eastAsia="Times New Roman" w:cs="Microsoft Sans Serif"/>
          <w:i/>
          <w:lang w:eastAsia="en-GB"/>
        </w:rPr>
        <w:t xml:space="preserve"> is being asked of them.</w:t>
      </w:r>
    </w:p>
    <w:p w:rsidR="0068190B" w:rsidRDefault="0068190B" w:rsidP="009B1BAA">
      <w:pPr>
        <w:spacing w:after="0" w:line="240" w:lineRule="auto"/>
        <w:rPr>
          <w:rFonts w:eastAsia="Times New Roman" w:cs="Microsoft Sans Serif"/>
          <w:i/>
          <w:lang w:eastAsia="en-GB"/>
        </w:rPr>
      </w:pPr>
    </w:p>
    <w:p w:rsidR="00F77DAC" w:rsidRDefault="00744358" w:rsidP="00F77DAC">
      <w:pPr>
        <w:spacing w:after="0" w:line="240" w:lineRule="auto"/>
        <w:ind w:left="720"/>
        <w:rPr>
          <w:rFonts w:eastAsia="Times New Roman" w:cs="Microsoft Sans Serif"/>
          <w:i/>
          <w:lang w:eastAsia="en-GB"/>
        </w:rPr>
      </w:pPr>
      <w:r w:rsidRPr="008F1A7E">
        <w:rPr>
          <w:rFonts w:eastAsia="Times New Roman" w:cs="Microsoft Sans Serif"/>
          <w:i/>
          <w:lang w:eastAsia="en-GB"/>
        </w:rPr>
        <w:t>This has been a challenging time for Music Hubs, not least that other 3rd sector music organisations just see the lead organisation as a central bidding opportunity for funding.  There has been a lot of time and effort channelled into articulating what a hub is (shoul</w:t>
      </w:r>
      <w:r>
        <w:rPr>
          <w:rFonts w:eastAsia="Times New Roman" w:cs="Microsoft Sans Serif"/>
          <w:i/>
          <w:lang w:eastAsia="en-GB"/>
        </w:rPr>
        <w:t xml:space="preserve">d be).  </w:t>
      </w:r>
    </w:p>
    <w:p w:rsidR="00F77DAC" w:rsidRDefault="00F77DAC" w:rsidP="00F77DAC">
      <w:pPr>
        <w:spacing w:after="0" w:line="240" w:lineRule="auto"/>
        <w:ind w:left="720"/>
        <w:rPr>
          <w:rFonts w:eastAsia="Times New Roman" w:cs="Microsoft Sans Serif"/>
          <w:i/>
          <w:lang w:eastAsia="en-GB"/>
        </w:rPr>
      </w:pPr>
    </w:p>
    <w:p w:rsidR="009A196A" w:rsidRDefault="009A196A" w:rsidP="009A196A">
      <w:pPr>
        <w:spacing w:after="0" w:line="240" w:lineRule="auto"/>
        <w:ind w:left="720"/>
        <w:rPr>
          <w:rFonts w:eastAsia="Times New Roman" w:cs="Microsoft Sans Serif"/>
          <w:i/>
          <w:lang w:eastAsia="en-GB"/>
        </w:rPr>
      </w:pPr>
      <w:r w:rsidRPr="000F0303">
        <w:rPr>
          <w:rFonts w:eastAsia="Times New Roman" w:cs="Microsoft Sans Serif"/>
          <w:i/>
          <w:lang w:eastAsia="en-GB"/>
        </w:rPr>
        <w:t xml:space="preserve">Onerous reporting and (over) accountability systems and requirements are reducing available management time for Q.A.  Further, the need to establish, manage and report upon numerous alternative funding streams (against falling central budgets) also places a heavy burden on management time.  There is increasing need for strategic and entrepreneurial development activity which is changing </w:t>
      </w:r>
      <w:r w:rsidRPr="00D85D4F">
        <w:rPr>
          <w:rFonts w:eastAsia="Times New Roman" w:cs="Microsoft Sans Serif"/>
          <w:i/>
          <w:lang w:eastAsia="en-GB"/>
        </w:rPr>
        <w:t>management roles at all levels.</w:t>
      </w:r>
    </w:p>
    <w:p w:rsidR="00424AD6" w:rsidRDefault="00424AD6" w:rsidP="00BF22A7">
      <w:pPr>
        <w:spacing w:after="0" w:line="240" w:lineRule="auto"/>
        <w:ind w:left="720"/>
        <w:rPr>
          <w:rFonts w:eastAsia="Times New Roman" w:cs="Microsoft Sans Serif"/>
          <w:i/>
          <w:lang w:eastAsia="en-GB"/>
        </w:rPr>
      </w:pPr>
    </w:p>
    <w:p w:rsidR="00BF22A7" w:rsidRDefault="00BF22A7" w:rsidP="00BF22A7">
      <w:pPr>
        <w:spacing w:after="0" w:line="240" w:lineRule="auto"/>
        <w:ind w:left="720"/>
        <w:rPr>
          <w:rFonts w:eastAsia="Times New Roman" w:cs="Microsoft Sans Serif"/>
          <w:i/>
          <w:lang w:eastAsia="en-GB"/>
        </w:rPr>
      </w:pPr>
      <w:r>
        <w:rPr>
          <w:rFonts w:eastAsia="Times New Roman" w:cs="Microsoft Sans Serif"/>
          <w:i/>
          <w:lang w:eastAsia="en-GB"/>
        </w:rPr>
        <w:t>Since S</w:t>
      </w:r>
      <w:r w:rsidRPr="00BF22A7">
        <w:rPr>
          <w:rFonts w:eastAsia="Times New Roman" w:cs="Microsoft Sans Serif"/>
          <w:i/>
          <w:lang w:eastAsia="en-GB"/>
        </w:rPr>
        <w:t>eptember my ability to effectively manage my music service has decreased and meant that I have had to increase my management team</w:t>
      </w:r>
      <w:r>
        <w:rPr>
          <w:rFonts w:eastAsia="Times New Roman" w:cs="Microsoft Sans Serif"/>
          <w:i/>
          <w:lang w:eastAsia="en-GB"/>
        </w:rPr>
        <w:t>’</w:t>
      </w:r>
      <w:r w:rsidRPr="00BF22A7">
        <w:rPr>
          <w:rFonts w:eastAsia="Times New Roman" w:cs="Microsoft Sans Serif"/>
          <w:i/>
          <w:lang w:eastAsia="en-GB"/>
        </w:rPr>
        <w:t>s size.  I am also spending more and more time completing paperwork for ACE and jumping through hoops that keep me away from pushing greater engagem</w:t>
      </w:r>
      <w:r>
        <w:rPr>
          <w:rFonts w:eastAsia="Times New Roman" w:cs="Microsoft Sans Serif"/>
          <w:i/>
          <w:lang w:eastAsia="en-GB"/>
        </w:rPr>
        <w:t>ent and raising the quality, br</w:t>
      </w:r>
      <w:r w:rsidRPr="00BF22A7">
        <w:rPr>
          <w:rFonts w:eastAsia="Times New Roman" w:cs="Microsoft Sans Serif"/>
          <w:i/>
          <w:lang w:eastAsia="en-GB"/>
        </w:rPr>
        <w:t>eadth and depth of provision for all young people.</w:t>
      </w:r>
    </w:p>
    <w:p w:rsidR="00011A68" w:rsidRDefault="00011A68" w:rsidP="00BF22A7">
      <w:pPr>
        <w:spacing w:after="0" w:line="240" w:lineRule="auto"/>
        <w:ind w:left="720"/>
        <w:rPr>
          <w:rFonts w:eastAsia="Times New Roman" w:cs="Microsoft Sans Serif"/>
          <w:i/>
          <w:lang w:eastAsia="en-GB"/>
        </w:rPr>
      </w:pPr>
    </w:p>
    <w:p w:rsidR="00C32FC6" w:rsidRPr="00011A68" w:rsidRDefault="001747B3" w:rsidP="00011A68">
      <w:pPr>
        <w:spacing w:after="0" w:line="240" w:lineRule="auto"/>
        <w:ind w:left="720"/>
        <w:rPr>
          <w:rFonts w:eastAsia="Times New Roman" w:cs="Microsoft Sans Serif"/>
          <w:i/>
          <w:lang w:eastAsia="en-GB"/>
        </w:rPr>
      </w:pPr>
      <w:r w:rsidRPr="00CD3416">
        <w:rPr>
          <w:rFonts w:eastAsia="Times New Roman" w:cs="Microsoft Sans Serif"/>
          <w:i/>
          <w:lang w:eastAsia="en-GB"/>
        </w:rPr>
        <w:t>We are currently undergoing restructure as teachers</w:t>
      </w:r>
      <w:r>
        <w:rPr>
          <w:rFonts w:eastAsia="Times New Roman" w:cs="Microsoft Sans Serif"/>
          <w:i/>
          <w:lang w:eastAsia="en-GB"/>
        </w:rPr>
        <w:t>’</w:t>
      </w:r>
      <w:r w:rsidRPr="00CD3416">
        <w:rPr>
          <w:rFonts w:eastAsia="Times New Roman" w:cs="Microsoft Sans Serif"/>
          <w:i/>
          <w:lang w:eastAsia="en-GB"/>
        </w:rPr>
        <w:t xml:space="preserve"> mainscale and up</w:t>
      </w:r>
      <w:r w:rsidR="00462A88">
        <w:rPr>
          <w:rFonts w:eastAsia="Times New Roman" w:cs="Microsoft Sans Serif"/>
          <w:i/>
          <w:lang w:eastAsia="en-GB"/>
        </w:rPr>
        <w:t xml:space="preserve">per pay spine and pay and conditions are </w:t>
      </w:r>
      <w:r>
        <w:rPr>
          <w:rFonts w:eastAsia="Times New Roman" w:cs="Microsoft Sans Serif"/>
          <w:i/>
          <w:lang w:eastAsia="en-GB"/>
        </w:rPr>
        <w:t xml:space="preserve">no longer affordable.  </w:t>
      </w:r>
    </w:p>
    <w:p w:rsidR="00FA5EFB" w:rsidRDefault="00FA5EFB" w:rsidP="00BF22A7">
      <w:pPr>
        <w:spacing w:after="0" w:line="240" w:lineRule="auto"/>
        <w:ind w:left="720"/>
        <w:rPr>
          <w:rFonts w:eastAsia="Times New Roman" w:cs="Microsoft Sans Serif"/>
          <w:i/>
          <w:lang w:eastAsia="en-GB"/>
        </w:rPr>
      </w:pPr>
    </w:p>
    <w:p w:rsidR="00F822B5" w:rsidRDefault="00F822B5" w:rsidP="009A196A">
      <w:pPr>
        <w:spacing w:after="0" w:line="240" w:lineRule="auto"/>
        <w:ind w:left="720"/>
        <w:rPr>
          <w:rFonts w:eastAsia="Times New Roman" w:cs="Microsoft Sans Serif"/>
          <w:i/>
          <w:lang w:eastAsia="en-GB"/>
        </w:rPr>
      </w:pPr>
      <w:r w:rsidRPr="00F822B5">
        <w:rPr>
          <w:rFonts w:eastAsia="Times New Roman" w:cs="Microsoft Sans Serif"/>
          <w:i/>
          <w:lang w:eastAsia="en-GB"/>
        </w:rPr>
        <w:t>Hubs have moved away from employing colleagues on QTS Payscales. We now have to write School MEP's which demand challenging school</w:t>
      </w:r>
      <w:r>
        <w:rPr>
          <w:rFonts w:eastAsia="Times New Roman" w:cs="Microsoft Sans Serif"/>
          <w:i/>
          <w:lang w:eastAsia="en-GB"/>
        </w:rPr>
        <w:t xml:space="preserve"> conversations - with very few </w:t>
      </w:r>
      <w:r w:rsidRPr="00F822B5">
        <w:rPr>
          <w:rFonts w:eastAsia="Times New Roman" w:cs="Microsoft Sans Serif"/>
          <w:i/>
          <w:lang w:eastAsia="en-GB"/>
        </w:rPr>
        <w:t>QTS colleagues to actually do this work!</w:t>
      </w:r>
    </w:p>
    <w:p w:rsidR="00EB4101" w:rsidRDefault="00EB4101" w:rsidP="009A196A">
      <w:pPr>
        <w:spacing w:after="0" w:line="240" w:lineRule="auto"/>
        <w:ind w:left="720"/>
        <w:rPr>
          <w:rFonts w:eastAsia="Times New Roman" w:cs="Microsoft Sans Serif"/>
          <w:i/>
          <w:lang w:eastAsia="en-GB"/>
        </w:rPr>
      </w:pPr>
    </w:p>
    <w:p w:rsidR="00E22C2D" w:rsidRDefault="00E22C2D" w:rsidP="00E22C2D">
      <w:pPr>
        <w:spacing w:after="0" w:line="240" w:lineRule="auto"/>
        <w:ind w:left="720"/>
        <w:rPr>
          <w:rFonts w:eastAsia="Times New Roman" w:cs="Microsoft Sans Serif"/>
          <w:i/>
          <w:lang w:eastAsia="en-GB"/>
        </w:rPr>
      </w:pPr>
      <w:r>
        <w:rPr>
          <w:rFonts w:eastAsia="Times New Roman" w:cs="Microsoft Sans Serif"/>
          <w:i/>
          <w:lang w:eastAsia="en-GB"/>
        </w:rPr>
        <w:t>O</w:t>
      </w:r>
      <w:r w:rsidRPr="00157FE6">
        <w:rPr>
          <w:rFonts w:eastAsia="Times New Roman" w:cs="Microsoft Sans Serif"/>
          <w:i/>
          <w:lang w:eastAsia="en-GB"/>
        </w:rPr>
        <w:t>fsted and exam pressure means we operate in an increasingly hostile environment. Much of the Hub development, whilst creating opportun</w:t>
      </w:r>
      <w:r>
        <w:rPr>
          <w:rFonts w:eastAsia="Times New Roman" w:cs="Microsoft Sans Serif"/>
          <w:i/>
          <w:lang w:eastAsia="en-GB"/>
        </w:rPr>
        <w:t>ities has often been at the expe</w:t>
      </w:r>
      <w:r w:rsidRPr="00157FE6">
        <w:rPr>
          <w:rFonts w:eastAsia="Times New Roman" w:cs="Microsoft Sans Serif"/>
          <w:i/>
          <w:lang w:eastAsia="en-GB"/>
        </w:rPr>
        <w:t>nse of effective day to day interaction and monitoring. Simply h</w:t>
      </w:r>
      <w:r>
        <w:rPr>
          <w:rFonts w:eastAsia="Times New Roman" w:cs="Microsoft Sans Serif"/>
          <w:i/>
          <w:lang w:eastAsia="en-GB"/>
        </w:rPr>
        <w:t>aving the capacity to respond t</w:t>
      </w:r>
      <w:r w:rsidRPr="00157FE6">
        <w:rPr>
          <w:rFonts w:eastAsia="Times New Roman" w:cs="Microsoft Sans Serif"/>
          <w:i/>
          <w:lang w:eastAsia="en-GB"/>
        </w:rPr>
        <w:t xml:space="preserve">o increased admin is very difficult. </w:t>
      </w:r>
    </w:p>
    <w:p w:rsidR="00284704" w:rsidRDefault="00284704" w:rsidP="00EB4101">
      <w:pPr>
        <w:spacing w:after="0" w:line="240" w:lineRule="auto"/>
        <w:ind w:left="720"/>
        <w:rPr>
          <w:rFonts w:eastAsia="Times New Roman" w:cs="Microsoft Sans Serif"/>
          <w:i/>
          <w:lang w:eastAsia="en-GB"/>
        </w:rPr>
      </w:pPr>
    </w:p>
    <w:p w:rsidR="00EB4101" w:rsidRPr="00EB4101" w:rsidRDefault="00EB4101" w:rsidP="00EB4101">
      <w:pPr>
        <w:spacing w:after="0" w:line="240" w:lineRule="auto"/>
        <w:ind w:left="720"/>
        <w:rPr>
          <w:rFonts w:eastAsia="Times New Roman" w:cs="Microsoft Sans Serif"/>
          <w:i/>
          <w:lang w:eastAsia="en-GB"/>
        </w:rPr>
      </w:pPr>
      <w:r w:rsidRPr="00EB4101">
        <w:rPr>
          <w:rFonts w:eastAsia="Times New Roman" w:cs="Microsoft Sans Serif"/>
          <w:i/>
          <w:lang w:eastAsia="en-GB"/>
        </w:rPr>
        <w:t xml:space="preserve">Apart from laying off a layer of staff to cope with the large cut in funding </w:t>
      </w:r>
      <w:r>
        <w:rPr>
          <w:rFonts w:eastAsia="Times New Roman" w:cs="Microsoft Sans Serif"/>
          <w:i/>
          <w:lang w:eastAsia="en-GB"/>
        </w:rPr>
        <w:t>in gov</w:t>
      </w:r>
      <w:r w:rsidR="009B1BAA">
        <w:rPr>
          <w:rFonts w:eastAsia="Times New Roman" w:cs="Microsoft Sans Serif"/>
          <w:i/>
          <w:lang w:eastAsia="en-GB"/>
        </w:rPr>
        <w:t>ernmen</w:t>
      </w:r>
      <w:r>
        <w:rPr>
          <w:rFonts w:eastAsia="Times New Roman" w:cs="Microsoft Sans Serif"/>
          <w:i/>
          <w:lang w:eastAsia="en-GB"/>
        </w:rPr>
        <w:t>t grant</w:t>
      </w:r>
      <w:r w:rsidRPr="00EB4101">
        <w:rPr>
          <w:rFonts w:eastAsia="Times New Roman" w:cs="Microsoft Sans Serif"/>
          <w:i/>
          <w:lang w:eastAsia="en-GB"/>
        </w:rPr>
        <w:t>, and the massive additional requirement for paperwork which limits the time I have to quality assure, there has been no difference to music education here.  The only difference my senior managers and I have noticed is that I/we have to attend lots more 'events' which have limited/no impact, and we are req</w:t>
      </w:r>
      <w:r>
        <w:rPr>
          <w:rFonts w:eastAsia="Times New Roman" w:cs="Microsoft Sans Serif"/>
          <w:i/>
          <w:lang w:eastAsia="en-GB"/>
        </w:rPr>
        <w:t>ui</w:t>
      </w:r>
      <w:r w:rsidRPr="00EB4101">
        <w:rPr>
          <w:rFonts w:eastAsia="Times New Roman" w:cs="Microsoft Sans Serif"/>
          <w:i/>
          <w:lang w:eastAsia="en-GB"/>
        </w:rPr>
        <w:t>red to produce a great deal of what seems like irrelevant paperwork.   Then we have to redo each piece of paperwork so the relationship manager can understand it.   All our payments have been delayed for this reason.    We like the NPME and are doing everything we can to deliv</w:t>
      </w:r>
      <w:r>
        <w:rPr>
          <w:rFonts w:eastAsia="Times New Roman" w:cs="Microsoft Sans Serif"/>
          <w:i/>
          <w:lang w:eastAsia="en-GB"/>
        </w:rPr>
        <w:t>er that</w:t>
      </w:r>
      <w:r w:rsidRPr="00EB4101">
        <w:rPr>
          <w:rFonts w:eastAsia="Times New Roman" w:cs="Microsoft Sans Serif"/>
          <w:i/>
          <w:lang w:eastAsia="en-GB"/>
        </w:rPr>
        <w:t xml:space="preserve"> and we completely agreed with the spirit of partnership and stakeholder management; we just want to have the time to get on and do this rather than spend endless days creating paperwork!</w:t>
      </w:r>
    </w:p>
    <w:p w:rsidR="00EB4101" w:rsidRDefault="00EB4101" w:rsidP="009A196A">
      <w:pPr>
        <w:spacing w:after="0" w:line="240" w:lineRule="auto"/>
        <w:ind w:left="720"/>
        <w:rPr>
          <w:rFonts w:eastAsia="Times New Roman" w:cs="Microsoft Sans Serif"/>
          <w:i/>
          <w:lang w:eastAsia="en-GB"/>
        </w:rPr>
      </w:pPr>
    </w:p>
    <w:p w:rsidR="00F822B5" w:rsidRDefault="00F822B5" w:rsidP="009A196A">
      <w:pPr>
        <w:spacing w:after="0" w:line="240" w:lineRule="auto"/>
        <w:ind w:left="720"/>
        <w:rPr>
          <w:rFonts w:eastAsia="Times New Roman" w:cs="Microsoft Sans Serif"/>
          <w:i/>
          <w:lang w:eastAsia="en-GB"/>
        </w:rPr>
      </w:pPr>
    </w:p>
    <w:p w:rsidR="00156C06" w:rsidRPr="00B103C6" w:rsidRDefault="00BF57F0" w:rsidP="00BF57F0">
      <w:pPr>
        <w:spacing w:after="0" w:line="240" w:lineRule="auto"/>
        <w:rPr>
          <w:b/>
        </w:rPr>
      </w:pPr>
      <w:r w:rsidRPr="00B103C6">
        <w:rPr>
          <w:rFonts w:eastAsia="Times New Roman" w:cs="Microsoft Sans Serif"/>
          <w:b/>
          <w:sz w:val="24"/>
          <w:szCs w:val="24"/>
          <w:lang w:eastAsia="en-GB"/>
        </w:rPr>
        <w:t xml:space="preserve">Other </w:t>
      </w:r>
      <w:r w:rsidR="00B103C6" w:rsidRPr="00B103C6">
        <w:rPr>
          <w:b/>
        </w:rPr>
        <w:t xml:space="preserve">data </w:t>
      </w:r>
      <w:r w:rsidR="00B103C6">
        <w:rPr>
          <w:b/>
        </w:rPr>
        <w:t>that were</w:t>
      </w:r>
      <w:r w:rsidR="00B103C6" w:rsidRPr="00B103C6">
        <w:rPr>
          <w:b/>
        </w:rPr>
        <w:t xml:space="preserve"> easily available for the 2012/2013 academic year.</w:t>
      </w:r>
    </w:p>
    <w:p w:rsidR="00B103C6" w:rsidRDefault="00B103C6" w:rsidP="00BF57F0">
      <w:pPr>
        <w:spacing w:after="0" w:line="240" w:lineRule="auto"/>
        <w:rPr>
          <w:rFonts w:eastAsia="Times New Roman" w:cs="Microsoft Sans Serif"/>
          <w:lang w:eastAsia="en-GB"/>
        </w:rPr>
      </w:pPr>
    </w:p>
    <w:p w:rsidR="00692043" w:rsidRDefault="00B103C6" w:rsidP="00BF57F0">
      <w:pPr>
        <w:spacing w:after="0" w:line="240" w:lineRule="auto"/>
        <w:rPr>
          <w:rFonts w:eastAsia="Times New Roman" w:cs="Microsoft Sans Serif"/>
          <w:lang w:eastAsia="en-GB"/>
        </w:rPr>
      </w:pPr>
      <w:r>
        <w:rPr>
          <w:rFonts w:eastAsia="Times New Roman" w:cs="Microsoft Sans Serif"/>
          <w:lang w:eastAsia="en-GB"/>
        </w:rPr>
        <w:t xml:space="preserve">In addition to answering the above questions and providing additional comments, hub leaders were asked to provide any other data that were easily available for the 2012/2013 academic year similar to that which </w:t>
      </w:r>
      <w:r>
        <w:t>had been submitted previously as part of annual data collection: access, progression, finance etc.</w:t>
      </w:r>
      <w:r>
        <w:rPr>
          <w:rFonts w:eastAsia="Times New Roman" w:cs="Microsoft Sans Serif"/>
          <w:lang w:eastAsia="en-GB"/>
        </w:rPr>
        <w:t xml:space="preserve"> </w:t>
      </w:r>
      <w:r w:rsidR="007C118F">
        <w:rPr>
          <w:rFonts w:eastAsia="Times New Roman" w:cs="Microsoft Sans Serif"/>
          <w:lang w:eastAsia="en-GB"/>
        </w:rPr>
        <w:t>Thirty</w:t>
      </w:r>
      <w:r w:rsidR="00156C06">
        <w:rPr>
          <w:rFonts w:eastAsia="Times New Roman" w:cs="Microsoft Sans Serif"/>
          <w:lang w:eastAsia="en-GB"/>
        </w:rPr>
        <w:t xml:space="preserve"> </w:t>
      </w:r>
      <w:r w:rsidR="00091F49">
        <w:rPr>
          <w:rFonts w:eastAsia="Times New Roman" w:cs="Microsoft Sans Serif"/>
          <w:lang w:eastAsia="en-GB"/>
        </w:rPr>
        <w:t xml:space="preserve">one </w:t>
      </w:r>
      <w:r w:rsidR="00156C06">
        <w:rPr>
          <w:rFonts w:eastAsia="Times New Roman" w:cs="Microsoft Sans Serif"/>
          <w:lang w:eastAsia="en-GB"/>
        </w:rPr>
        <w:t xml:space="preserve">hubs </w:t>
      </w:r>
      <w:r w:rsidR="006465F1">
        <w:rPr>
          <w:rFonts w:eastAsia="Times New Roman" w:cs="Microsoft Sans Serif"/>
          <w:lang w:eastAsia="en-GB"/>
        </w:rPr>
        <w:t xml:space="preserve">(25%) </w:t>
      </w:r>
      <w:r w:rsidR="00156C06">
        <w:rPr>
          <w:rFonts w:eastAsia="Times New Roman" w:cs="Microsoft Sans Serif"/>
          <w:lang w:eastAsia="en-GB"/>
        </w:rPr>
        <w:t xml:space="preserve">responded representing </w:t>
      </w:r>
      <w:r w:rsidR="00091F49">
        <w:rPr>
          <w:rFonts w:eastAsia="Times New Roman" w:cs="Microsoft Sans Serif"/>
          <w:lang w:eastAsia="en-GB"/>
        </w:rPr>
        <w:t xml:space="preserve">41 </w:t>
      </w:r>
      <w:r w:rsidR="003528B8">
        <w:rPr>
          <w:rFonts w:eastAsia="Times New Roman" w:cs="Microsoft Sans Serif"/>
          <w:lang w:eastAsia="en-GB"/>
        </w:rPr>
        <w:t>Local Authority areas</w:t>
      </w:r>
      <w:r w:rsidR="006465F1">
        <w:rPr>
          <w:rFonts w:eastAsia="Times New Roman" w:cs="Microsoft Sans Serif"/>
          <w:lang w:eastAsia="en-GB"/>
        </w:rPr>
        <w:t>.</w:t>
      </w:r>
      <w:r w:rsidR="00091F49">
        <w:rPr>
          <w:rFonts w:eastAsia="Times New Roman" w:cs="Microsoft Sans Serif"/>
          <w:lang w:eastAsia="en-GB"/>
        </w:rPr>
        <w:t xml:space="preserve"> Twenty eight</w:t>
      </w:r>
      <w:r w:rsidR="00AE2584">
        <w:rPr>
          <w:rFonts w:eastAsia="Times New Roman" w:cs="Microsoft Sans Serif"/>
          <w:lang w:eastAsia="en-GB"/>
        </w:rPr>
        <w:t xml:space="preserve"> of these hubs </w:t>
      </w:r>
      <w:r>
        <w:rPr>
          <w:rFonts w:eastAsia="Times New Roman" w:cs="Microsoft Sans Serif"/>
          <w:lang w:eastAsia="en-GB"/>
        </w:rPr>
        <w:t xml:space="preserve">forwarded </w:t>
      </w:r>
      <w:r w:rsidR="00AE2584">
        <w:rPr>
          <w:rFonts w:eastAsia="Times New Roman" w:cs="Microsoft Sans Serif"/>
          <w:lang w:eastAsia="en-GB"/>
        </w:rPr>
        <w:t>their ACE questionnaires</w:t>
      </w:r>
      <w:r>
        <w:rPr>
          <w:rFonts w:eastAsia="Times New Roman" w:cs="Microsoft Sans Serif"/>
          <w:lang w:eastAsia="en-GB"/>
        </w:rPr>
        <w:t xml:space="preserve"> which formed the data set for the NFER research</w:t>
      </w:r>
      <w:r w:rsidR="00AE2584">
        <w:rPr>
          <w:rFonts w:eastAsia="Times New Roman" w:cs="Microsoft Sans Serif"/>
          <w:lang w:eastAsia="en-GB"/>
        </w:rPr>
        <w:t xml:space="preserve">. </w:t>
      </w:r>
      <w:r>
        <w:rPr>
          <w:rFonts w:eastAsia="Times New Roman" w:cs="Microsoft Sans Serif"/>
          <w:lang w:eastAsia="en-GB"/>
        </w:rPr>
        <w:t xml:space="preserve">One </w:t>
      </w:r>
      <w:r w:rsidR="00E13CF0">
        <w:rPr>
          <w:rFonts w:eastAsia="Times New Roman" w:cs="Microsoft Sans Serif"/>
          <w:lang w:eastAsia="en-GB"/>
        </w:rPr>
        <w:t xml:space="preserve">return was incomplete. </w:t>
      </w:r>
      <w:r w:rsidR="00AE2584">
        <w:rPr>
          <w:rFonts w:eastAsia="Times New Roman" w:cs="Microsoft Sans Serif"/>
          <w:lang w:eastAsia="en-GB"/>
        </w:rPr>
        <w:t>Three hubs returned a range of other information.</w:t>
      </w:r>
      <w:r w:rsidR="006465F1">
        <w:rPr>
          <w:rFonts w:eastAsia="Times New Roman" w:cs="Microsoft Sans Serif"/>
          <w:lang w:eastAsia="en-GB"/>
        </w:rPr>
        <w:t xml:space="preserve"> </w:t>
      </w:r>
      <w:r w:rsidR="00091F49">
        <w:rPr>
          <w:rFonts w:eastAsia="Times New Roman" w:cs="Microsoft Sans Serif"/>
          <w:lang w:eastAsia="en-GB"/>
        </w:rPr>
        <w:t>T</w:t>
      </w:r>
      <w:r>
        <w:rPr>
          <w:rFonts w:eastAsia="Times New Roman" w:cs="Microsoft Sans Serif"/>
          <w:lang w:eastAsia="en-GB"/>
        </w:rPr>
        <w:t>he number of responses is insufficient to provide</w:t>
      </w:r>
      <w:r w:rsidR="00692043">
        <w:rPr>
          <w:rFonts w:eastAsia="Times New Roman" w:cs="Microsoft Sans Serif"/>
          <w:lang w:eastAsia="en-GB"/>
        </w:rPr>
        <w:t xml:space="preserve"> </w:t>
      </w:r>
      <w:r>
        <w:rPr>
          <w:rFonts w:eastAsia="Times New Roman" w:cs="Microsoft Sans Serif"/>
          <w:lang w:eastAsia="en-GB"/>
        </w:rPr>
        <w:t>statistically meaningful data</w:t>
      </w:r>
      <w:r w:rsidR="003528B8">
        <w:rPr>
          <w:rFonts w:eastAsia="Times New Roman" w:cs="Microsoft Sans Serif"/>
          <w:lang w:eastAsia="en-GB"/>
        </w:rPr>
        <w:t>. A</w:t>
      </w:r>
      <w:r w:rsidR="00091F49">
        <w:rPr>
          <w:rFonts w:eastAsia="Times New Roman" w:cs="Microsoft Sans Serif"/>
          <w:lang w:eastAsia="en-GB"/>
        </w:rPr>
        <w:t>lso, a</w:t>
      </w:r>
      <w:r w:rsidR="003528B8">
        <w:rPr>
          <w:rFonts w:eastAsia="Times New Roman" w:cs="Microsoft Sans Serif"/>
          <w:lang w:eastAsia="en-GB"/>
        </w:rPr>
        <w:t>s these are self-</w:t>
      </w:r>
      <w:r>
        <w:rPr>
          <w:rFonts w:eastAsia="Times New Roman" w:cs="Microsoft Sans Serif"/>
          <w:lang w:eastAsia="en-GB"/>
        </w:rPr>
        <w:t>sel</w:t>
      </w:r>
      <w:r w:rsidR="00091F49">
        <w:rPr>
          <w:rFonts w:eastAsia="Times New Roman" w:cs="Microsoft Sans Serif"/>
          <w:lang w:eastAsia="en-GB"/>
        </w:rPr>
        <w:t>ecting responses, they can</w:t>
      </w:r>
      <w:r>
        <w:rPr>
          <w:rFonts w:eastAsia="Times New Roman" w:cs="Microsoft Sans Serif"/>
          <w:lang w:eastAsia="en-GB"/>
        </w:rPr>
        <w:t xml:space="preserve">not be considered to be a </w:t>
      </w:r>
      <w:r w:rsidR="00692043">
        <w:rPr>
          <w:rFonts w:eastAsia="Times New Roman" w:cs="Microsoft Sans Serif"/>
          <w:lang w:eastAsia="en-GB"/>
        </w:rPr>
        <w:t>representative sample from which to draw national conclusions</w:t>
      </w:r>
      <w:r>
        <w:rPr>
          <w:rFonts w:eastAsia="Times New Roman" w:cs="Microsoft Sans Serif"/>
          <w:lang w:eastAsia="en-GB"/>
        </w:rPr>
        <w:t>. However</w:t>
      </w:r>
      <w:r w:rsidR="00692043">
        <w:rPr>
          <w:rFonts w:eastAsia="Times New Roman" w:cs="Microsoft Sans Serif"/>
          <w:lang w:eastAsia="en-GB"/>
        </w:rPr>
        <w:t>,</w:t>
      </w:r>
      <w:r>
        <w:rPr>
          <w:rFonts w:eastAsia="Times New Roman" w:cs="Microsoft Sans Serif"/>
          <w:lang w:eastAsia="en-GB"/>
        </w:rPr>
        <w:t xml:space="preserve"> some </w:t>
      </w:r>
      <w:r w:rsidR="00692043">
        <w:rPr>
          <w:rFonts w:eastAsia="Times New Roman" w:cs="Microsoft Sans Serif"/>
          <w:lang w:eastAsia="en-GB"/>
        </w:rPr>
        <w:t xml:space="preserve">data may still be of </w:t>
      </w:r>
      <w:r>
        <w:rPr>
          <w:rFonts w:eastAsia="Times New Roman" w:cs="Microsoft Sans Serif"/>
          <w:lang w:eastAsia="en-GB"/>
        </w:rPr>
        <w:t>interest</w:t>
      </w:r>
      <w:r w:rsidR="00692043">
        <w:rPr>
          <w:rFonts w:eastAsia="Times New Roman" w:cs="Microsoft Sans Serif"/>
          <w:lang w:eastAsia="en-GB"/>
        </w:rPr>
        <w:t xml:space="preserve"> to music services </w:t>
      </w:r>
      <w:r>
        <w:rPr>
          <w:rFonts w:eastAsia="Times New Roman" w:cs="Microsoft Sans Serif"/>
          <w:lang w:eastAsia="en-GB"/>
        </w:rPr>
        <w:t xml:space="preserve">and hub leaders </w:t>
      </w:r>
      <w:r w:rsidR="00692043">
        <w:rPr>
          <w:rFonts w:eastAsia="Times New Roman" w:cs="Microsoft Sans Serif"/>
          <w:lang w:eastAsia="en-GB"/>
        </w:rPr>
        <w:t>when considering their own sit</w:t>
      </w:r>
      <w:r>
        <w:rPr>
          <w:rFonts w:eastAsia="Times New Roman" w:cs="Microsoft Sans Serif"/>
          <w:lang w:eastAsia="en-GB"/>
        </w:rPr>
        <w:t>uation in the context of</w:t>
      </w:r>
      <w:r w:rsidR="00AE2584">
        <w:rPr>
          <w:rFonts w:eastAsia="Times New Roman" w:cs="Microsoft Sans Serif"/>
          <w:lang w:eastAsia="en-GB"/>
        </w:rPr>
        <w:t xml:space="preserve"> this information.</w:t>
      </w:r>
    </w:p>
    <w:p w:rsidR="00AE2584" w:rsidRDefault="00AE2584" w:rsidP="00BF57F0">
      <w:pPr>
        <w:spacing w:after="0" w:line="240" w:lineRule="auto"/>
        <w:rPr>
          <w:rFonts w:eastAsia="Times New Roman" w:cs="Microsoft Sans Serif"/>
          <w:lang w:eastAsia="en-GB"/>
        </w:rPr>
      </w:pPr>
    </w:p>
    <w:p w:rsidR="00A937A0" w:rsidRDefault="00A937A0" w:rsidP="00B103C6">
      <w:pPr>
        <w:spacing w:after="0" w:line="240" w:lineRule="auto"/>
        <w:rPr>
          <w:rFonts w:eastAsia="Times New Roman" w:cs="Microsoft Sans Serif"/>
          <w:lang w:eastAsia="en-GB"/>
        </w:rPr>
      </w:pPr>
    </w:p>
    <w:p w:rsidR="00A937A0" w:rsidRDefault="00A937A0" w:rsidP="00B103C6">
      <w:pPr>
        <w:spacing w:after="0" w:line="240" w:lineRule="auto"/>
        <w:rPr>
          <w:rFonts w:eastAsia="Times New Roman" w:cs="Microsoft Sans Serif"/>
          <w:b/>
          <w:lang w:eastAsia="en-GB"/>
        </w:rPr>
      </w:pPr>
      <w:r>
        <w:rPr>
          <w:rFonts w:eastAsia="Times New Roman" w:cs="Microsoft Sans Serif"/>
          <w:b/>
          <w:lang w:eastAsia="en-GB"/>
        </w:rPr>
        <w:lastRenderedPageBreak/>
        <w:t>First Access Programmes</w:t>
      </w:r>
    </w:p>
    <w:p w:rsidR="00A937A0" w:rsidRPr="00A937A0" w:rsidRDefault="00A937A0" w:rsidP="00B103C6">
      <w:pPr>
        <w:spacing w:after="0" w:line="240" w:lineRule="auto"/>
        <w:rPr>
          <w:rFonts w:eastAsia="Times New Roman" w:cs="Microsoft Sans Serif"/>
          <w:b/>
          <w:lang w:eastAsia="en-GB"/>
        </w:rPr>
      </w:pPr>
    </w:p>
    <w:p w:rsidR="00E34794" w:rsidRDefault="00B103C6" w:rsidP="00B103C6">
      <w:pPr>
        <w:spacing w:after="0" w:line="240" w:lineRule="auto"/>
        <w:rPr>
          <w:rFonts w:eastAsia="Times New Roman" w:cs="Microsoft Sans Serif"/>
          <w:lang w:eastAsia="en-GB"/>
        </w:rPr>
      </w:pPr>
      <w:r>
        <w:rPr>
          <w:rFonts w:eastAsia="Times New Roman" w:cs="Microsoft Sans Serif"/>
          <w:lang w:eastAsia="en-GB"/>
        </w:rPr>
        <w:t>The p</w:t>
      </w:r>
      <w:r w:rsidR="00AE2584" w:rsidRPr="00B103C6">
        <w:rPr>
          <w:rFonts w:eastAsia="Times New Roman" w:cs="Microsoft Sans Serif"/>
          <w:lang w:eastAsia="en-GB"/>
        </w:rPr>
        <w:t xml:space="preserve">ercentage of primary schools receiving First </w:t>
      </w:r>
      <w:r w:rsidR="00EB406F">
        <w:rPr>
          <w:rFonts w:eastAsia="Times New Roman" w:cs="Microsoft Sans Serif"/>
          <w:lang w:eastAsia="en-GB"/>
        </w:rPr>
        <w:t>Access programmes ranged from 23</w:t>
      </w:r>
      <w:r w:rsidR="00AE2584" w:rsidRPr="00B103C6">
        <w:rPr>
          <w:rFonts w:eastAsia="Times New Roman" w:cs="Microsoft Sans Serif"/>
          <w:lang w:eastAsia="en-GB"/>
        </w:rPr>
        <w:t>% to 100%.</w:t>
      </w:r>
      <w:r>
        <w:rPr>
          <w:rFonts w:eastAsia="Times New Roman" w:cs="Microsoft Sans Serif"/>
          <w:lang w:eastAsia="en-GB"/>
        </w:rPr>
        <w:t xml:space="preserve"> </w:t>
      </w:r>
      <w:r w:rsidR="00EB406F">
        <w:rPr>
          <w:rFonts w:eastAsia="Times New Roman" w:cs="Microsoft Sans Serif"/>
          <w:lang w:eastAsia="en-GB"/>
        </w:rPr>
        <w:t>(N=28)</w:t>
      </w:r>
      <w:r w:rsidR="00091F49">
        <w:rPr>
          <w:rFonts w:eastAsia="Times New Roman" w:cs="Microsoft Sans Serif"/>
          <w:lang w:eastAsia="en-GB"/>
        </w:rPr>
        <w:t xml:space="preserve"> Average 61%.</w:t>
      </w:r>
    </w:p>
    <w:p w:rsidR="00EB406F" w:rsidRDefault="00EB406F" w:rsidP="00B103C6">
      <w:pPr>
        <w:spacing w:after="0" w:line="240" w:lineRule="auto"/>
        <w:rPr>
          <w:rFonts w:eastAsia="Times New Roman" w:cs="Microsoft Sans Serif"/>
          <w:lang w:eastAsia="en-GB"/>
        </w:rPr>
      </w:pPr>
    </w:p>
    <w:p w:rsidR="00E34794" w:rsidRDefault="00E34794" w:rsidP="00B103C6">
      <w:pPr>
        <w:spacing w:after="0" w:line="240" w:lineRule="auto"/>
        <w:rPr>
          <w:rFonts w:eastAsia="Times New Roman" w:cs="Microsoft Sans Serif"/>
          <w:lang w:eastAsia="en-GB"/>
        </w:rPr>
      </w:pPr>
      <w:r>
        <w:rPr>
          <w:noProof/>
          <w:lang w:eastAsia="en-GB"/>
        </w:rPr>
        <w:drawing>
          <wp:inline distT="0" distB="0" distL="0" distR="0" wp14:anchorId="731BD4BB" wp14:editId="0DBCEBF1">
            <wp:extent cx="5572125" cy="27432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4794" w:rsidRDefault="00E34794" w:rsidP="00B103C6">
      <w:pPr>
        <w:spacing w:after="0" w:line="240" w:lineRule="auto"/>
        <w:rPr>
          <w:rFonts w:eastAsia="Times New Roman" w:cs="Microsoft Sans Serif"/>
          <w:lang w:eastAsia="en-GB"/>
        </w:rPr>
      </w:pPr>
    </w:p>
    <w:p w:rsidR="00AE2584" w:rsidRPr="00B103C6" w:rsidRDefault="00B103C6" w:rsidP="00B103C6">
      <w:pPr>
        <w:spacing w:after="0" w:line="240" w:lineRule="auto"/>
        <w:rPr>
          <w:rFonts w:eastAsia="Times New Roman" w:cs="Microsoft Sans Serif"/>
          <w:lang w:eastAsia="en-GB"/>
        </w:rPr>
      </w:pPr>
      <w:r>
        <w:rPr>
          <w:rFonts w:eastAsia="Times New Roman" w:cs="Microsoft Sans Serif"/>
          <w:lang w:eastAsia="en-GB"/>
        </w:rPr>
        <w:t>The duration of these First Access programmes was as follows:</w:t>
      </w:r>
    </w:p>
    <w:p w:rsidR="00B103C6" w:rsidRDefault="00B103C6" w:rsidP="00B103C6">
      <w:pPr>
        <w:spacing w:after="0" w:line="240" w:lineRule="auto"/>
        <w:rPr>
          <w:rFonts w:eastAsia="Times New Roman" w:cs="Microsoft Sans Serif"/>
          <w:lang w:eastAsia="en-GB"/>
        </w:rPr>
      </w:pPr>
    </w:p>
    <w:p w:rsidR="00AE2584" w:rsidRPr="00B103C6" w:rsidRDefault="00AE2584" w:rsidP="00B103C6">
      <w:pPr>
        <w:spacing w:after="0" w:line="240" w:lineRule="auto"/>
        <w:rPr>
          <w:rFonts w:eastAsia="Times New Roman" w:cs="Microsoft Sans Serif"/>
          <w:lang w:eastAsia="en-GB"/>
        </w:rPr>
      </w:pPr>
      <w:r w:rsidRPr="00B103C6">
        <w:rPr>
          <w:rFonts w:eastAsia="Times New Roman" w:cs="Microsoft Sans Serif"/>
          <w:lang w:eastAsia="en-GB"/>
        </w:rPr>
        <w:t xml:space="preserve">Duration of First Access programmes: </w:t>
      </w:r>
      <w:r w:rsidR="00E34794">
        <w:rPr>
          <w:rFonts w:eastAsia="Times New Roman" w:cs="Microsoft Sans Serif"/>
          <w:lang w:eastAsia="en-GB"/>
        </w:rPr>
        <w:t>(N=28</w:t>
      </w:r>
      <w:r w:rsidR="00E13CF0" w:rsidRPr="00B103C6">
        <w:rPr>
          <w:rFonts w:eastAsia="Times New Roman" w:cs="Microsoft Sans Serif"/>
          <w:lang w:eastAsia="en-GB"/>
        </w:rPr>
        <w:t>)</w:t>
      </w:r>
    </w:p>
    <w:p w:rsidR="00AE2584" w:rsidRDefault="00AE2584" w:rsidP="00B103C6">
      <w:pPr>
        <w:pStyle w:val="ListParagraph"/>
        <w:numPr>
          <w:ilvl w:val="0"/>
          <w:numId w:val="11"/>
        </w:numPr>
        <w:spacing w:after="0" w:line="240" w:lineRule="auto"/>
        <w:rPr>
          <w:rFonts w:eastAsia="Times New Roman" w:cs="Microsoft Sans Serif"/>
          <w:lang w:eastAsia="en-GB"/>
        </w:rPr>
      </w:pPr>
      <w:r>
        <w:rPr>
          <w:rFonts w:eastAsia="Times New Roman" w:cs="Microsoft Sans Serif"/>
          <w:lang w:eastAsia="en-GB"/>
        </w:rPr>
        <w:t xml:space="preserve">One term: </w:t>
      </w:r>
      <w:r w:rsidR="009A7B26">
        <w:rPr>
          <w:rFonts w:eastAsia="Times New Roman" w:cs="Microsoft Sans Serif"/>
          <w:lang w:eastAsia="en-GB"/>
        </w:rPr>
        <w:t>20%</w:t>
      </w:r>
    </w:p>
    <w:p w:rsidR="009A7B26" w:rsidRDefault="009A7B26" w:rsidP="00B103C6">
      <w:pPr>
        <w:pStyle w:val="ListParagraph"/>
        <w:numPr>
          <w:ilvl w:val="0"/>
          <w:numId w:val="11"/>
        </w:numPr>
        <w:spacing w:after="0" w:line="240" w:lineRule="auto"/>
        <w:rPr>
          <w:rFonts w:eastAsia="Times New Roman" w:cs="Microsoft Sans Serif"/>
          <w:lang w:eastAsia="en-GB"/>
        </w:rPr>
      </w:pPr>
      <w:r>
        <w:rPr>
          <w:rFonts w:eastAsia="Times New Roman" w:cs="Microsoft Sans Serif"/>
          <w:lang w:eastAsia="en-GB"/>
        </w:rPr>
        <w:t>Two terms: 8%</w:t>
      </w:r>
    </w:p>
    <w:p w:rsidR="009A7B26" w:rsidRDefault="009A7B26" w:rsidP="00B103C6">
      <w:pPr>
        <w:pStyle w:val="ListParagraph"/>
        <w:numPr>
          <w:ilvl w:val="0"/>
          <w:numId w:val="11"/>
        </w:numPr>
        <w:spacing w:after="0" w:line="240" w:lineRule="auto"/>
        <w:rPr>
          <w:rFonts w:eastAsia="Times New Roman" w:cs="Microsoft Sans Serif"/>
          <w:lang w:eastAsia="en-GB"/>
        </w:rPr>
      </w:pPr>
      <w:r>
        <w:rPr>
          <w:rFonts w:eastAsia="Times New Roman" w:cs="Microsoft Sans Serif"/>
          <w:lang w:eastAsia="en-GB"/>
        </w:rPr>
        <w:t>Three terms: 69%</w:t>
      </w:r>
    </w:p>
    <w:p w:rsidR="009A7B26" w:rsidRDefault="009A7B26" w:rsidP="00B103C6">
      <w:pPr>
        <w:pStyle w:val="ListParagraph"/>
        <w:numPr>
          <w:ilvl w:val="0"/>
          <w:numId w:val="11"/>
        </w:numPr>
        <w:spacing w:after="0" w:line="240" w:lineRule="auto"/>
        <w:rPr>
          <w:rFonts w:eastAsia="Times New Roman" w:cs="Microsoft Sans Serif"/>
          <w:lang w:eastAsia="en-GB"/>
        </w:rPr>
      </w:pPr>
      <w:r>
        <w:rPr>
          <w:rFonts w:eastAsia="Times New Roman" w:cs="Microsoft Sans Serif"/>
          <w:lang w:eastAsia="en-GB"/>
        </w:rPr>
        <w:t>Schools with a mixture of programme lengths: 3%</w:t>
      </w:r>
    </w:p>
    <w:p w:rsidR="00E34794" w:rsidRDefault="00E34794" w:rsidP="00E34794">
      <w:pPr>
        <w:spacing w:after="0" w:line="240" w:lineRule="auto"/>
        <w:rPr>
          <w:rFonts w:eastAsia="Times New Roman" w:cs="Microsoft Sans Serif"/>
          <w:lang w:eastAsia="en-GB"/>
        </w:rPr>
      </w:pPr>
    </w:p>
    <w:p w:rsidR="002358EE" w:rsidRDefault="00990562" w:rsidP="00990562">
      <w:pPr>
        <w:spacing w:after="0" w:line="240" w:lineRule="auto"/>
        <w:rPr>
          <w:rFonts w:eastAsia="Times New Roman" w:cs="Microsoft Sans Serif"/>
          <w:lang w:eastAsia="en-GB"/>
        </w:rPr>
      </w:pPr>
      <w:r>
        <w:rPr>
          <w:rFonts w:eastAsia="Times New Roman" w:cs="Microsoft Sans Serif"/>
          <w:lang w:eastAsia="en-GB"/>
        </w:rPr>
        <w:t>Continuity beyond First Access</w:t>
      </w:r>
      <w:r w:rsidR="00E34794">
        <w:rPr>
          <w:rFonts w:eastAsia="Times New Roman" w:cs="Microsoft Sans Serif"/>
          <w:lang w:eastAsia="en-GB"/>
        </w:rPr>
        <w:t xml:space="preserve"> (N=28</w:t>
      </w:r>
      <w:r w:rsidR="00E13CF0" w:rsidRPr="00B103C6">
        <w:rPr>
          <w:rFonts w:eastAsia="Times New Roman" w:cs="Microsoft Sans Serif"/>
          <w:lang w:eastAsia="en-GB"/>
        </w:rPr>
        <w:t>)</w:t>
      </w:r>
      <w:r>
        <w:rPr>
          <w:rFonts w:eastAsia="Times New Roman" w:cs="Microsoft Sans Serif"/>
          <w:lang w:eastAsia="en-GB"/>
        </w:rPr>
        <w:t xml:space="preserve"> a</w:t>
      </w:r>
      <w:r w:rsidR="002358EE">
        <w:rPr>
          <w:rFonts w:eastAsia="Times New Roman" w:cs="Microsoft Sans Serif"/>
          <w:lang w:eastAsia="en-GB"/>
        </w:rPr>
        <w:t>verage</w:t>
      </w:r>
      <w:r>
        <w:rPr>
          <w:rFonts w:eastAsia="Times New Roman" w:cs="Microsoft Sans Serif"/>
          <w:lang w:eastAsia="en-GB"/>
        </w:rPr>
        <w:t>d at 31% with a range of</w:t>
      </w:r>
      <w:r w:rsidR="002358EE">
        <w:rPr>
          <w:rFonts w:eastAsia="Times New Roman" w:cs="Microsoft Sans Serif"/>
          <w:lang w:eastAsia="en-GB"/>
        </w:rPr>
        <w:t xml:space="preserve"> 5% to 70%</w:t>
      </w:r>
      <w:r>
        <w:rPr>
          <w:rFonts w:eastAsia="Times New Roman" w:cs="Microsoft Sans Serif"/>
          <w:lang w:eastAsia="en-GB"/>
        </w:rPr>
        <w:t>.</w:t>
      </w:r>
    </w:p>
    <w:p w:rsidR="00990562" w:rsidRDefault="00990562" w:rsidP="00990562">
      <w:pPr>
        <w:spacing w:after="0" w:line="240" w:lineRule="auto"/>
        <w:rPr>
          <w:rFonts w:eastAsia="Times New Roman" w:cs="Microsoft Sans Serif"/>
          <w:lang w:eastAsia="en-GB"/>
        </w:rPr>
      </w:pPr>
    </w:p>
    <w:p w:rsidR="00E34794" w:rsidRDefault="00091F49" w:rsidP="00990562">
      <w:pPr>
        <w:spacing w:after="0" w:line="240" w:lineRule="auto"/>
        <w:rPr>
          <w:rFonts w:eastAsia="Times New Roman" w:cs="Microsoft Sans Serif"/>
          <w:lang w:eastAsia="en-GB"/>
        </w:rPr>
      </w:pPr>
      <w:r>
        <w:rPr>
          <w:noProof/>
          <w:lang w:eastAsia="en-GB"/>
        </w:rPr>
        <w:drawing>
          <wp:inline distT="0" distB="0" distL="0" distR="0" wp14:anchorId="733E2BF0" wp14:editId="33DF9160">
            <wp:extent cx="5572125" cy="2743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4794" w:rsidRDefault="00E34794" w:rsidP="00990562">
      <w:pPr>
        <w:spacing w:after="0" w:line="240" w:lineRule="auto"/>
        <w:rPr>
          <w:rFonts w:eastAsia="Times New Roman" w:cs="Microsoft Sans Serif"/>
          <w:lang w:eastAsia="en-GB"/>
        </w:rPr>
      </w:pPr>
    </w:p>
    <w:p w:rsidR="000C056A" w:rsidRDefault="000C056A" w:rsidP="00990562">
      <w:pPr>
        <w:spacing w:after="0" w:line="240" w:lineRule="auto"/>
        <w:rPr>
          <w:rFonts w:eastAsia="Times New Roman" w:cs="Microsoft Sans Serif"/>
          <w:lang w:eastAsia="en-GB"/>
        </w:rPr>
      </w:pPr>
    </w:p>
    <w:p w:rsidR="00A937A0" w:rsidRDefault="00A937A0" w:rsidP="00990562">
      <w:pPr>
        <w:spacing w:after="0" w:line="240" w:lineRule="auto"/>
        <w:rPr>
          <w:rFonts w:eastAsia="Times New Roman" w:cs="Microsoft Sans Serif"/>
          <w:lang w:eastAsia="en-GB"/>
        </w:rPr>
      </w:pPr>
    </w:p>
    <w:p w:rsidR="000F7E81" w:rsidRPr="000F7E81" w:rsidRDefault="000F7E81" w:rsidP="00990562">
      <w:pPr>
        <w:spacing w:after="0" w:line="240" w:lineRule="auto"/>
        <w:rPr>
          <w:rFonts w:eastAsia="Times New Roman" w:cs="Microsoft Sans Serif"/>
          <w:b/>
          <w:lang w:eastAsia="en-GB"/>
        </w:rPr>
      </w:pPr>
      <w:r>
        <w:rPr>
          <w:rFonts w:eastAsia="Times New Roman" w:cs="Microsoft Sans Serif"/>
          <w:b/>
          <w:lang w:eastAsia="en-GB"/>
        </w:rPr>
        <w:lastRenderedPageBreak/>
        <w:t>Standards and Progression</w:t>
      </w:r>
    </w:p>
    <w:p w:rsidR="000F7E81" w:rsidRDefault="000F7E81" w:rsidP="00990562">
      <w:pPr>
        <w:spacing w:after="0" w:line="240" w:lineRule="auto"/>
        <w:rPr>
          <w:rFonts w:eastAsia="Times New Roman" w:cs="Microsoft Sans Serif"/>
          <w:lang w:eastAsia="en-GB"/>
        </w:rPr>
      </w:pPr>
    </w:p>
    <w:p w:rsidR="00406D7C" w:rsidRPr="00990562" w:rsidRDefault="0043272C" w:rsidP="00990562">
      <w:pPr>
        <w:spacing w:after="0" w:line="240" w:lineRule="auto"/>
        <w:rPr>
          <w:rFonts w:eastAsia="Times New Roman" w:cs="Microsoft Sans Serif"/>
          <w:lang w:eastAsia="en-GB"/>
        </w:rPr>
      </w:pPr>
      <w:r w:rsidRPr="00990562">
        <w:rPr>
          <w:rFonts w:eastAsia="Times New Roman" w:cs="Microsoft Sans Serif"/>
          <w:lang w:eastAsia="en-GB"/>
        </w:rPr>
        <w:t>Standards and progression</w:t>
      </w:r>
      <w:r w:rsidR="00A71CF3" w:rsidRPr="00990562">
        <w:rPr>
          <w:rFonts w:eastAsia="Times New Roman" w:cs="Microsoft Sans Serif"/>
          <w:lang w:eastAsia="en-GB"/>
        </w:rPr>
        <w:t xml:space="preserve"> </w:t>
      </w:r>
      <w:r w:rsidR="00990562">
        <w:rPr>
          <w:rFonts w:eastAsia="Times New Roman" w:cs="Microsoft Sans Serif"/>
          <w:lang w:eastAsia="en-GB"/>
        </w:rPr>
        <w:t xml:space="preserve">responses also </w:t>
      </w:r>
      <w:r w:rsidR="00A71CF3" w:rsidRPr="00990562">
        <w:rPr>
          <w:rFonts w:eastAsia="Times New Roman" w:cs="Microsoft Sans Serif"/>
          <w:lang w:eastAsia="en-GB"/>
        </w:rPr>
        <w:t>range</w:t>
      </w:r>
      <w:r w:rsidR="00990562">
        <w:rPr>
          <w:rFonts w:eastAsia="Times New Roman" w:cs="Microsoft Sans Serif"/>
          <w:lang w:eastAsia="en-GB"/>
        </w:rPr>
        <w:t xml:space="preserve"> quite widely</w:t>
      </w:r>
      <w:r w:rsidR="000C056A">
        <w:rPr>
          <w:rFonts w:eastAsia="Times New Roman" w:cs="Microsoft Sans Serif"/>
          <w:lang w:eastAsia="en-GB"/>
        </w:rPr>
        <w:t xml:space="preserve"> (N=28</w:t>
      </w:r>
      <w:r w:rsidR="00E13CF0" w:rsidRPr="00990562">
        <w:rPr>
          <w:rFonts w:eastAsia="Times New Roman" w:cs="Microsoft Sans Serif"/>
          <w:lang w:eastAsia="en-GB"/>
        </w:rPr>
        <w:t>)</w:t>
      </w:r>
      <w:r w:rsidR="00990562">
        <w:rPr>
          <w:rFonts w:eastAsia="Times New Roman" w:cs="Microsoft Sans Serif"/>
          <w:lang w:eastAsia="en-GB"/>
        </w:rPr>
        <w:t>:</w:t>
      </w:r>
    </w:p>
    <w:p w:rsidR="00A71CF3" w:rsidRDefault="00A71CF3" w:rsidP="00990562">
      <w:pPr>
        <w:pStyle w:val="ListParagraph"/>
        <w:numPr>
          <w:ilvl w:val="0"/>
          <w:numId w:val="11"/>
        </w:numPr>
        <w:spacing w:after="0" w:line="240" w:lineRule="auto"/>
        <w:rPr>
          <w:rFonts w:eastAsia="Times New Roman" w:cs="Microsoft Sans Serif"/>
          <w:lang w:eastAsia="en-GB"/>
        </w:rPr>
      </w:pPr>
      <w:r>
        <w:rPr>
          <w:rFonts w:eastAsia="Times New Roman" w:cs="Microsoft Sans Serif"/>
          <w:lang w:eastAsia="en-GB"/>
        </w:rPr>
        <w:t>Beginner: 42% to 92.5%</w:t>
      </w:r>
      <w:r w:rsidR="000C056A">
        <w:rPr>
          <w:rFonts w:eastAsia="Times New Roman" w:cs="Microsoft Sans Serif"/>
          <w:lang w:eastAsia="en-GB"/>
        </w:rPr>
        <w:t xml:space="preserve"> (average</w:t>
      </w:r>
      <w:r w:rsidR="00CD2F17">
        <w:rPr>
          <w:rFonts w:eastAsia="Times New Roman" w:cs="Microsoft Sans Serif"/>
          <w:lang w:eastAsia="en-GB"/>
        </w:rPr>
        <w:t xml:space="preserve"> 71.8</w:t>
      </w:r>
      <w:r w:rsidR="000C056A">
        <w:rPr>
          <w:rFonts w:eastAsia="Times New Roman" w:cs="Microsoft Sans Serif"/>
          <w:lang w:eastAsia="en-GB"/>
        </w:rPr>
        <w:t>%)</w:t>
      </w:r>
    </w:p>
    <w:p w:rsidR="000C056A" w:rsidRDefault="000C056A" w:rsidP="000C056A">
      <w:pPr>
        <w:spacing w:after="0" w:line="240" w:lineRule="auto"/>
        <w:rPr>
          <w:rFonts w:eastAsia="Times New Roman" w:cs="Microsoft Sans Serif"/>
          <w:lang w:eastAsia="en-GB"/>
        </w:rPr>
      </w:pPr>
    </w:p>
    <w:p w:rsidR="000C056A" w:rsidRPr="000C056A" w:rsidRDefault="000C056A" w:rsidP="000C056A">
      <w:pPr>
        <w:spacing w:after="0" w:line="240" w:lineRule="auto"/>
        <w:rPr>
          <w:rFonts w:eastAsia="Times New Roman" w:cs="Microsoft Sans Serif"/>
          <w:lang w:eastAsia="en-GB"/>
        </w:rPr>
      </w:pPr>
      <w:r>
        <w:rPr>
          <w:noProof/>
          <w:lang w:eastAsia="en-GB"/>
        </w:rPr>
        <w:drawing>
          <wp:inline distT="0" distB="0" distL="0" distR="0" wp14:anchorId="7F47F8DC" wp14:editId="6576A115">
            <wp:extent cx="5629275" cy="27432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056A" w:rsidRDefault="000C056A" w:rsidP="000C056A">
      <w:pPr>
        <w:pStyle w:val="ListParagraph"/>
        <w:spacing w:after="0" w:line="240" w:lineRule="auto"/>
        <w:rPr>
          <w:rFonts w:eastAsia="Times New Roman" w:cs="Microsoft Sans Serif"/>
          <w:lang w:eastAsia="en-GB"/>
        </w:rPr>
      </w:pPr>
    </w:p>
    <w:p w:rsidR="00A71CF3" w:rsidRDefault="00A71CF3" w:rsidP="00990562">
      <w:pPr>
        <w:pStyle w:val="ListParagraph"/>
        <w:numPr>
          <w:ilvl w:val="0"/>
          <w:numId w:val="11"/>
        </w:numPr>
        <w:spacing w:after="0" w:line="240" w:lineRule="auto"/>
        <w:rPr>
          <w:rFonts w:eastAsia="Times New Roman" w:cs="Microsoft Sans Serif"/>
          <w:lang w:eastAsia="en-GB"/>
        </w:rPr>
      </w:pPr>
      <w:r>
        <w:rPr>
          <w:rFonts w:eastAsia="Times New Roman" w:cs="Microsoft Sans Serif"/>
          <w:lang w:eastAsia="en-GB"/>
        </w:rPr>
        <w:t>Foundation: 5.9% to 48%</w:t>
      </w:r>
      <w:r w:rsidR="002B396F">
        <w:rPr>
          <w:rFonts w:eastAsia="Times New Roman" w:cs="Microsoft Sans Serif"/>
          <w:lang w:eastAsia="en-GB"/>
        </w:rPr>
        <w:t xml:space="preserve"> (average 21.5</w:t>
      </w:r>
      <w:r w:rsidR="000C056A">
        <w:rPr>
          <w:rFonts w:eastAsia="Times New Roman" w:cs="Microsoft Sans Serif"/>
          <w:lang w:eastAsia="en-GB"/>
        </w:rPr>
        <w:t>%)</w:t>
      </w:r>
    </w:p>
    <w:p w:rsidR="000C056A" w:rsidRDefault="000C056A" w:rsidP="000C056A">
      <w:pPr>
        <w:spacing w:after="0" w:line="240" w:lineRule="auto"/>
        <w:rPr>
          <w:rFonts w:eastAsia="Times New Roman" w:cs="Microsoft Sans Serif"/>
          <w:lang w:eastAsia="en-GB"/>
        </w:rPr>
      </w:pPr>
    </w:p>
    <w:p w:rsidR="000C056A" w:rsidRDefault="00CD2F17" w:rsidP="000C056A">
      <w:pPr>
        <w:spacing w:after="0" w:line="240" w:lineRule="auto"/>
        <w:rPr>
          <w:rFonts w:eastAsia="Times New Roman" w:cs="Microsoft Sans Serif"/>
          <w:lang w:eastAsia="en-GB"/>
        </w:rPr>
      </w:pPr>
      <w:r>
        <w:rPr>
          <w:noProof/>
          <w:lang w:eastAsia="en-GB"/>
        </w:rPr>
        <w:drawing>
          <wp:inline distT="0" distB="0" distL="0" distR="0" wp14:anchorId="24EF07E3" wp14:editId="1FA5D5A0">
            <wp:extent cx="5629275" cy="274320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056A" w:rsidRDefault="000C056A"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p>
    <w:p w:rsidR="00A71CF3" w:rsidRDefault="00A71CF3" w:rsidP="00990562">
      <w:pPr>
        <w:pStyle w:val="ListParagraph"/>
        <w:numPr>
          <w:ilvl w:val="0"/>
          <w:numId w:val="11"/>
        </w:numPr>
        <w:spacing w:after="0" w:line="240" w:lineRule="auto"/>
        <w:rPr>
          <w:rFonts w:eastAsia="Times New Roman" w:cs="Microsoft Sans Serif"/>
          <w:lang w:eastAsia="en-GB"/>
        </w:rPr>
      </w:pPr>
      <w:r>
        <w:rPr>
          <w:rFonts w:eastAsia="Times New Roman" w:cs="Microsoft Sans Serif"/>
          <w:lang w:eastAsia="en-GB"/>
        </w:rPr>
        <w:lastRenderedPageBreak/>
        <w:t xml:space="preserve">Intermediate: </w:t>
      </w:r>
      <w:r w:rsidR="008B28E1">
        <w:rPr>
          <w:rFonts w:eastAsia="Times New Roman" w:cs="Microsoft Sans Serif"/>
          <w:lang w:eastAsia="en-GB"/>
        </w:rPr>
        <w:t>1% to 14.5%</w:t>
      </w:r>
      <w:r w:rsidR="00CD2F17">
        <w:rPr>
          <w:rFonts w:eastAsia="Times New Roman" w:cs="Microsoft Sans Serif"/>
          <w:lang w:eastAsia="en-GB"/>
        </w:rPr>
        <w:t xml:space="preserve"> (average 4.7%)</w:t>
      </w:r>
    </w:p>
    <w:p w:rsidR="000C056A" w:rsidRDefault="000C056A" w:rsidP="000C056A">
      <w:pPr>
        <w:spacing w:after="0" w:line="240" w:lineRule="auto"/>
        <w:rPr>
          <w:rFonts w:eastAsia="Times New Roman" w:cs="Microsoft Sans Serif"/>
          <w:lang w:eastAsia="en-GB"/>
        </w:rPr>
      </w:pPr>
    </w:p>
    <w:p w:rsidR="00CD2F17" w:rsidRDefault="00CD2F17" w:rsidP="000C056A">
      <w:pPr>
        <w:spacing w:after="0" w:line="240" w:lineRule="auto"/>
        <w:rPr>
          <w:rFonts w:eastAsia="Times New Roman" w:cs="Microsoft Sans Serif"/>
          <w:lang w:eastAsia="en-GB"/>
        </w:rPr>
      </w:pPr>
      <w:r>
        <w:rPr>
          <w:noProof/>
          <w:lang w:eastAsia="en-GB"/>
        </w:rPr>
        <w:drawing>
          <wp:inline distT="0" distB="0" distL="0" distR="0" wp14:anchorId="68FC32FB" wp14:editId="6BCB5D5E">
            <wp:extent cx="577215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056A" w:rsidRPr="000C056A" w:rsidRDefault="000C056A" w:rsidP="000C056A">
      <w:pPr>
        <w:spacing w:after="0" w:line="240" w:lineRule="auto"/>
        <w:rPr>
          <w:rFonts w:eastAsia="Times New Roman" w:cs="Microsoft Sans Serif"/>
          <w:lang w:eastAsia="en-GB"/>
        </w:rPr>
      </w:pPr>
    </w:p>
    <w:p w:rsidR="008B28E1" w:rsidRDefault="008B28E1" w:rsidP="00990562">
      <w:pPr>
        <w:pStyle w:val="ListParagraph"/>
        <w:numPr>
          <w:ilvl w:val="0"/>
          <w:numId w:val="11"/>
        </w:numPr>
        <w:spacing w:after="0" w:line="240" w:lineRule="auto"/>
        <w:rPr>
          <w:rFonts w:eastAsia="Times New Roman" w:cs="Microsoft Sans Serif"/>
          <w:lang w:eastAsia="en-GB"/>
        </w:rPr>
      </w:pPr>
      <w:r>
        <w:rPr>
          <w:rFonts w:eastAsia="Times New Roman" w:cs="Microsoft Sans Serif"/>
          <w:lang w:eastAsia="en-GB"/>
        </w:rPr>
        <w:t>Advanced: 0.3% to 10.9%</w:t>
      </w:r>
      <w:r w:rsidR="00F23D18">
        <w:rPr>
          <w:rFonts w:eastAsia="Times New Roman" w:cs="Microsoft Sans Serif"/>
          <w:lang w:eastAsia="en-GB"/>
        </w:rPr>
        <w:t xml:space="preserve"> (average 2%)</w:t>
      </w:r>
    </w:p>
    <w:p w:rsidR="00091F49" w:rsidRDefault="00091F49" w:rsidP="00091F49">
      <w:pPr>
        <w:spacing w:after="0" w:line="240" w:lineRule="auto"/>
        <w:rPr>
          <w:rFonts w:eastAsia="Times New Roman" w:cs="Microsoft Sans Serif"/>
          <w:lang w:eastAsia="en-GB"/>
        </w:rPr>
      </w:pPr>
    </w:p>
    <w:p w:rsidR="00091F49" w:rsidRPr="00091F49" w:rsidRDefault="00F23D18" w:rsidP="00091F49">
      <w:pPr>
        <w:spacing w:after="0" w:line="240" w:lineRule="auto"/>
        <w:rPr>
          <w:rFonts w:eastAsia="Times New Roman" w:cs="Microsoft Sans Serif"/>
          <w:lang w:eastAsia="en-GB"/>
        </w:rPr>
      </w:pPr>
      <w:r>
        <w:rPr>
          <w:noProof/>
          <w:lang w:eastAsia="en-GB"/>
        </w:rPr>
        <w:drawing>
          <wp:inline distT="0" distB="0" distL="0" distR="0" wp14:anchorId="5A0EDB2E" wp14:editId="7572C282">
            <wp:extent cx="577215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C2DCC" w:rsidRDefault="009C2DCC" w:rsidP="00990562">
      <w:pPr>
        <w:spacing w:after="0" w:line="240" w:lineRule="auto"/>
        <w:rPr>
          <w:rFonts w:eastAsia="Times New Roman" w:cs="Microsoft Sans Serif"/>
          <w:i/>
          <w:lang w:eastAsia="en-GB"/>
        </w:rPr>
      </w:pPr>
    </w:p>
    <w:p w:rsidR="007A0F81" w:rsidRDefault="007A0F81" w:rsidP="00990562">
      <w:pPr>
        <w:spacing w:after="0" w:line="240" w:lineRule="auto"/>
        <w:rPr>
          <w:rFonts w:eastAsia="Times New Roman" w:cs="Microsoft Sans Serif"/>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b/>
          <w:lang w:eastAsia="en-GB"/>
        </w:rPr>
      </w:pPr>
    </w:p>
    <w:p w:rsidR="00A937A0" w:rsidRDefault="00F036FE" w:rsidP="00990562">
      <w:pPr>
        <w:spacing w:after="0" w:line="240" w:lineRule="auto"/>
        <w:rPr>
          <w:rFonts w:eastAsia="Times New Roman" w:cs="Microsoft Sans Serif"/>
          <w:b/>
          <w:lang w:eastAsia="en-GB"/>
        </w:rPr>
      </w:pPr>
      <w:r w:rsidRPr="00F036FE">
        <w:rPr>
          <w:rFonts w:eastAsia="Times New Roman" w:cs="Microsoft Sans Serif"/>
          <w:b/>
          <w:lang w:eastAsia="en-GB"/>
        </w:rPr>
        <w:lastRenderedPageBreak/>
        <w:t>Singing Strategy</w:t>
      </w:r>
    </w:p>
    <w:p w:rsidR="00F036FE" w:rsidRDefault="00F036FE" w:rsidP="00990562">
      <w:pPr>
        <w:spacing w:after="0" w:line="240" w:lineRule="auto"/>
        <w:rPr>
          <w:rFonts w:eastAsia="Times New Roman" w:cs="Microsoft Sans Serif"/>
          <w:b/>
          <w:lang w:eastAsia="en-GB"/>
        </w:rPr>
      </w:pPr>
    </w:p>
    <w:p w:rsidR="00F036FE" w:rsidRPr="00F036FE" w:rsidRDefault="00EB4595" w:rsidP="00990562">
      <w:pPr>
        <w:spacing w:after="0" w:line="240" w:lineRule="auto"/>
        <w:rPr>
          <w:rFonts w:eastAsia="Times New Roman" w:cs="Microsoft Sans Serif"/>
          <w:lang w:eastAsia="en-GB"/>
        </w:rPr>
      </w:pPr>
      <w:r>
        <w:rPr>
          <w:rFonts w:eastAsia="Times New Roman" w:cs="Microsoft Sans Serif"/>
          <w:lang w:eastAsia="en-GB"/>
        </w:rPr>
        <w:t>Of</w:t>
      </w:r>
      <w:r w:rsidR="00F036FE">
        <w:rPr>
          <w:rFonts w:eastAsia="Times New Roman" w:cs="Microsoft Sans Serif"/>
          <w:lang w:eastAsia="en-GB"/>
        </w:rPr>
        <w:t xml:space="preserve"> the 27 music education hubs with comments on singing strategies, the range of schools worked with was between 14% and 100% (average 55%).</w:t>
      </w:r>
    </w:p>
    <w:p w:rsidR="00F036FE" w:rsidRPr="00F036FE" w:rsidRDefault="00F036FE" w:rsidP="00990562">
      <w:pPr>
        <w:spacing w:after="0" w:line="240" w:lineRule="auto"/>
        <w:rPr>
          <w:rFonts w:eastAsia="Times New Roman" w:cs="Microsoft Sans Serif"/>
          <w:b/>
          <w:lang w:eastAsia="en-GB"/>
        </w:rPr>
      </w:pPr>
    </w:p>
    <w:p w:rsidR="00F036FE" w:rsidRDefault="00F036FE" w:rsidP="00990562">
      <w:pPr>
        <w:spacing w:after="0" w:line="240" w:lineRule="auto"/>
        <w:rPr>
          <w:rFonts w:eastAsia="Times New Roman" w:cs="Microsoft Sans Serif"/>
          <w:lang w:eastAsia="en-GB"/>
        </w:rPr>
      </w:pPr>
      <w:r>
        <w:rPr>
          <w:noProof/>
          <w:lang w:eastAsia="en-GB"/>
        </w:rPr>
        <w:drawing>
          <wp:inline distT="0" distB="0" distL="0" distR="0" wp14:anchorId="7D4D1928" wp14:editId="33B8C7F6">
            <wp:extent cx="56769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937A0" w:rsidRDefault="00A937A0" w:rsidP="00990562">
      <w:pPr>
        <w:spacing w:after="0" w:line="240" w:lineRule="auto"/>
        <w:rPr>
          <w:rFonts w:eastAsia="Times New Roman" w:cs="Microsoft Sans Serif"/>
          <w:lang w:eastAsia="en-GB"/>
        </w:rPr>
      </w:pPr>
    </w:p>
    <w:p w:rsidR="00EB4595" w:rsidRDefault="00EB4595" w:rsidP="00990562">
      <w:pPr>
        <w:spacing w:after="0" w:line="240" w:lineRule="auto"/>
        <w:rPr>
          <w:rFonts w:eastAsia="Times New Roman" w:cs="Microsoft Sans Serif"/>
          <w:lang w:eastAsia="en-GB"/>
        </w:rPr>
      </w:pPr>
    </w:p>
    <w:p w:rsidR="007A0F81" w:rsidRDefault="007A0F81" w:rsidP="00990562">
      <w:pPr>
        <w:spacing w:after="0" w:line="240" w:lineRule="auto"/>
        <w:rPr>
          <w:rFonts w:eastAsia="Times New Roman" w:cs="Microsoft Sans Serif"/>
          <w:lang w:eastAsia="en-GB"/>
        </w:rPr>
      </w:pPr>
      <w:r>
        <w:rPr>
          <w:rFonts w:eastAsia="Times New Roman" w:cs="Microsoft Sans Serif"/>
          <w:lang w:eastAsia="en-GB"/>
        </w:rPr>
        <w:t>Richard J Hallam</w:t>
      </w:r>
      <w:r w:rsidR="00240BD2">
        <w:rPr>
          <w:rFonts w:eastAsia="Times New Roman" w:cs="Microsoft Sans Serif"/>
          <w:lang w:eastAsia="en-GB"/>
        </w:rPr>
        <w:t xml:space="preserve"> MBE</w:t>
      </w:r>
    </w:p>
    <w:p w:rsidR="00AB39FB" w:rsidRDefault="00AB39FB" w:rsidP="00990562">
      <w:pPr>
        <w:spacing w:after="0" w:line="240" w:lineRule="auto"/>
        <w:rPr>
          <w:rFonts w:eastAsia="Times New Roman" w:cs="Microsoft Sans Serif"/>
          <w:lang w:eastAsia="en-GB"/>
        </w:rPr>
      </w:pPr>
      <w:r>
        <w:rPr>
          <w:rFonts w:eastAsia="Times New Roman" w:cs="Microsoft Sans Serif"/>
          <w:lang w:eastAsia="en-GB"/>
        </w:rPr>
        <w:t>Music Education Consultant</w:t>
      </w:r>
    </w:p>
    <w:p w:rsidR="007A0F81" w:rsidRPr="00C337C6" w:rsidRDefault="007F4BE1" w:rsidP="00990562">
      <w:pPr>
        <w:spacing w:after="0" w:line="240" w:lineRule="auto"/>
        <w:rPr>
          <w:rFonts w:eastAsia="Times New Roman" w:cs="Microsoft Sans Serif"/>
          <w:lang w:eastAsia="en-GB"/>
        </w:rPr>
      </w:pPr>
      <w:r>
        <w:rPr>
          <w:rFonts w:eastAsia="Times New Roman" w:cs="Microsoft Sans Serif"/>
          <w:lang w:eastAsia="en-GB"/>
        </w:rPr>
        <w:t>May 19</w:t>
      </w:r>
      <w:r w:rsidRPr="007F4BE1">
        <w:rPr>
          <w:rFonts w:eastAsia="Times New Roman" w:cs="Microsoft Sans Serif"/>
          <w:vertAlign w:val="superscript"/>
          <w:lang w:eastAsia="en-GB"/>
        </w:rPr>
        <w:t>th</w:t>
      </w:r>
      <w:r>
        <w:rPr>
          <w:rFonts w:eastAsia="Times New Roman" w:cs="Microsoft Sans Serif"/>
          <w:lang w:eastAsia="en-GB"/>
        </w:rPr>
        <w:t xml:space="preserve"> 2014 </w:t>
      </w:r>
    </w:p>
    <w:sectPr w:rsidR="007A0F81" w:rsidRPr="00C337C6" w:rsidSect="00015196">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00" w:rsidRDefault="009D5800" w:rsidP="00CE213E">
      <w:pPr>
        <w:spacing w:after="0" w:line="240" w:lineRule="auto"/>
      </w:pPr>
      <w:r>
        <w:separator/>
      </w:r>
    </w:p>
  </w:endnote>
  <w:endnote w:type="continuationSeparator" w:id="0">
    <w:p w:rsidR="009D5800" w:rsidRDefault="009D5800" w:rsidP="00CE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674738"/>
      <w:docPartObj>
        <w:docPartGallery w:val="Page Numbers (Bottom of Page)"/>
        <w:docPartUnique/>
      </w:docPartObj>
    </w:sdtPr>
    <w:sdtEndPr>
      <w:rPr>
        <w:noProof/>
      </w:rPr>
    </w:sdtEndPr>
    <w:sdtContent>
      <w:p w:rsidR="000C056A" w:rsidRDefault="000C056A">
        <w:pPr>
          <w:pStyle w:val="Footer"/>
          <w:jc w:val="right"/>
        </w:pPr>
        <w:r>
          <w:fldChar w:fldCharType="begin"/>
        </w:r>
        <w:r>
          <w:instrText xml:space="preserve"> PAGE   \* MERGEFORMAT </w:instrText>
        </w:r>
        <w:r>
          <w:fldChar w:fldCharType="separate"/>
        </w:r>
        <w:r w:rsidR="00A733C6">
          <w:rPr>
            <w:noProof/>
          </w:rPr>
          <w:t>1</w:t>
        </w:r>
        <w:r>
          <w:rPr>
            <w:noProof/>
          </w:rPr>
          <w:fldChar w:fldCharType="end"/>
        </w:r>
      </w:p>
    </w:sdtContent>
  </w:sdt>
  <w:p w:rsidR="000C056A" w:rsidRDefault="000C0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00" w:rsidRDefault="009D5800" w:rsidP="00CE213E">
      <w:pPr>
        <w:spacing w:after="0" w:line="240" w:lineRule="auto"/>
      </w:pPr>
      <w:r>
        <w:separator/>
      </w:r>
    </w:p>
  </w:footnote>
  <w:footnote w:type="continuationSeparator" w:id="0">
    <w:p w:rsidR="009D5800" w:rsidRDefault="009D5800" w:rsidP="00CE213E">
      <w:pPr>
        <w:spacing w:after="0" w:line="240" w:lineRule="auto"/>
      </w:pPr>
      <w:r>
        <w:continuationSeparator/>
      </w:r>
    </w:p>
  </w:footnote>
  <w:footnote w:id="1">
    <w:p w:rsidR="000C056A" w:rsidRDefault="000C056A">
      <w:pPr>
        <w:pStyle w:val="FootnoteText"/>
      </w:pPr>
      <w:r>
        <w:rPr>
          <w:rStyle w:val="FootnoteReference"/>
        </w:rPr>
        <w:footnoteRef/>
      </w:r>
      <w:r>
        <w:t xml:space="preserve"> National Plan for Music Education </w:t>
      </w:r>
      <w:hyperlink r:id="rId1" w:history="1">
        <w:r w:rsidRPr="00BB2FB1">
          <w:rPr>
            <w:rStyle w:val="Hyperlink"/>
          </w:rPr>
          <w:t>https://www.gov.uk/government/publications/the-importance-of-music-a-national-plan-for-music-education</w:t>
        </w:r>
      </w:hyperlink>
      <w:r>
        <w:t xml:space="preserve"> page 26</w:t>
      </w:r>
    </w:p>
  </w:footnote>
  <w:footnote w:id="2">
    <w:p w:rsidR="000C056A" w:rsidRDefault="000C056A">
      <w:pPr>
        <w:pStyle w:val="FootnoteText"/>
      </w:pPr>
      <w:r>
        <w:rPr>
          <w:rStyle w:val="FootnoteReference"/>
        </w:rPr>
        <w:footnoteRef/>
      </w:r>
      <w:r>
        <w:t xml:space="preserve"> See Research Reports DfEE RR229; DfES RR478; RR700; and DCSF RR014</w:t>
      </w:r>
    </w:p>
  </w:footnote>
  <w:footnote w:id="3">
    <w:p w:rsidR="000C056A" w:rsidRDefault="000C056A" w:rsidP="00D917FA">
      <w:pPr>
        <w:pStyle w:val="FootnoteText"/>
      </w:pPr>
      <w:r>
        <w:rPr>
          <w:rStyle w:val="FootnoteReference"/>
        </w:rPr>
        <w:footnoteRef/>
      </w:r>
      <w:r>
        <w:t xml:space="preserve"> See reports by the </w:t>
      </w:r>
      <w:hyperlink r:id="rId2" w:history="1">
        <w:r w:rsidRPr="004E2E5A">
          <w:rPr>
            <w:rStyle w:val="Hyperlink"/>
          </w:rPr>
          <w:t>National Music Participation Director</w:t>
        </w:r>
      </w:hyperlink>
    </w:p>
  </w:footnote>
  <w:footnote w:id="4">
    <w:p w:rsidR="000C056A" w:rsidRDefault="000C056A">
      <w:pPr>
        <w:pStyle w:val="FootnoteText"/>
      </w:pPr>
      <w:r>
        <w:rPr>
          <w:rStyle w:val="FootnoteReference"/>
        </w:rPr>
        <w:footnoteRef/>
      </w:r>
      <w:r>
        <w:t xml:space="preserve"> 2012/2013 £75m; 2013/2014 £65m; 2014/2015 £60m</w:t>
      </w:r>
    </w:p>
  </w:footnote>
  <w:footnote w:id="5">
    <w:p w:rsidR="000C056A" w:rsidRDefault="000C056A">
      <w:pPr>
        <w:pStyle w:val="FootnoteText"/>
      </w:pPr>
      <w:r>
        <w:rPr>
          <w:rStyle w:val="FootnoteReference"/>
        </w:rPr>
        <w:footnoteRef/>
      </w:r>
      <w:r>
        <w:t xml:space="preserve"> </w:t>
      </w:r>
      <w:r w:rsidRPr="00A2462C">
        <w:t>The report focuses on the main key performance indicators agreed between Arts Council England and the Department for Education (Df</w:t>
      </w:r>
      <w:r>
        <w:t xml:space="preserve">E) in January 2014. </w:t>
      </w:r>
      <w:hyperlink r:id="rId3" w:history="1">
        <w:r w:rsidRPr="00BB2FB1">
          <w:rPr>
            <w:rStyle w:val="Hyperlink"/>
          </w:rPr>
          <w:t>http://www.artscouncil.org.uk/funding/apply-funding/funding-programmes/music-education-hubs/</w:t>
        </w:r>
      </w:hyperlink>
      <w:r>
        <w:t xml:space="preserve"> </w:t>
      </w:r>
    </w:p>
  </w:footnote>
  <w:footnote w:id="6">
    <w:p w:rsidR="000C056A" w:rsidRDefault="000C056A">
      <w:pPr>
        <w:pStyle w:val="FootnoteText"/>
      </w:pPr>
      <w:r>
        <w:rPr>
          <w:rStyle w:val="FootnoteReference"/>
        </w:rPr>
        <w:footnoteRef/>
      </w:r>
      <w:r>
        <w:t xml:space="preserve"> </w:t>
      </w:r>
      <w:hyperlink r:id="rId4" w:history="1">
        <w:r w:rsidRPr="004E2E5A">
          <w:rPr>
            <w:rStyle w:val="Hyperlink"/>
          </w:rPr>
          <w:t>National Music Participation Director</w:t>
        </w:r>
      </w:hyperlink>
      <w:r>
        <w:rPr>
          <w:rStyle w:val="Hyperlink"/>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604"/>
    <w:multiLevelType w:val="hybridMultilevel"/>
    <w:tmpl w:val="6BEA8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DE58BE"/>
    <w:multiLevelType w:val="hybridMultilevel"/>
    <w:tmpl w:val="7A34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4E7C88"/>
    <w:multiLevelType w:val="hybridMultilevel"/>
    <w:tmpl w:val="851E355A"/>
    <w:lvl w:ilvl="0" w:tplc="A8B6D004">
      <w:start w:val="7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771D33"/>
    <w:multiLevelType w:val="hybridMultilevel"/>
    <w:tmpl w:val="F238F024"/>
    <w:lvl w:ilvl="0" w:tplc="96FA8EC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48E2597"/>
    <w:multiLevelType w:val="hybridMultilevel"/>
    <w:tmpl w:val="9F945A4A"/>
    <w:lvl w:ilvl="0" w:tplc="A8B6D00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5153F6"/>
    <w:multiLevelType w:val="hybridMultilevel"/>
    <w:tmpl w:val="367E0AB6"/>
    <w:lvl w:ilvl="0" w:tplc="205499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9A62B3"/>
    <w:multiLevelType w:val="hybridMultilevel"/>
    <w:tmpl w:val="8BEC6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AE31E4"/>
    <w:multiLevelType w:val="hybridMultilevel"/>
    <w:tmpl w:val="0988FA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1E5E69"/>
    <w:multiLevelType w:val="hybridMultilevel"/>
    <w:tmpl w:val="6BEA8E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F235FAF"/>
    <w:multiLevelType w:val="hybridMultilevel"/>
    <w:tmpl w:val="BE22D8AA"/>
    <w:lvl w:ilvl="0" w:tplc="96FA8EC0">
      <w:start w:val="7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E96A24"/>
    <w:multiLevelType w:val="hybridMultilevel"/>
    <w:tmpl w:val="6BEA8E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B24618F"/>
    <w:multiLevelType w:val="hybridMultilevel"/>
    <w:tmpl w:val="D0A6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5"/>
  </w:num>
  <w:num w:numId="5">
    <w:abstractNumId w:val="4"/>
  </w:num>
  <w:num w:numId="6">
    <w:abstractNumId w:val="9"/>
  </w:num>
  <w:num w:numId="7">
    <w:abstractNumId w:val="8"/>
  </w:num>
  <w:num w:numId="8">
    <w:abstractNumId w:val="10"/>
  </w:num>
  <w:num w:numId="9">
    <w:abstractNumId w:val="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67"/>
    <w:rsid w:val="00003177"/>
    <w:rsid w:val="00011A68"/>
    <w:rsid w:val="00015196"/>
    <w:rsid w:val="00030691"/>
    <w:rsid w:val="00045417"/>
    <w:rsid w:val="000642C4"/>
    <w:rsid w:val="00073DEB"/>
    <w:rsid w:val="0009005D"/>
    <w:rsid w:val="00091F49"/>
    <w:rsid w:val="000A554E"/>
    <w:rsid w:val="000B4C68"/>
    <w:rsid w:val="000C056A"/>
    <w:rsid w:val="000D2528"/>
    <w:rsid w:val="000D4852"/>
    <w:rsid w:val="000F0303"/>
    <w:rsid w:val="000F7E81"/>
    <w:rsid w:val="00120F2A"/>
    <w:rsid w:val="00141F5D"/>
    <w:rsid w:val="00144B1B"/>
    <w:rsid w:val="00150E94"/>
    <w:rsid w:val="001523A6"/>
    <w:rsid w:val="00156C06"/>
    <w:rsid w:val="001571DE"/>
    <w:rsid w:val="00157FE6"/>
    <w:rsid w:val="00171AA1"/>
    <w:rsid w:val="00173448"/>
    <w:rsid w:val="001747B3"/>
    <w:rsid w:val="001777EE"/>
    <w:rsid w:val="001960F4"/>
    <w:rsid w:val="001A4822"/>
    <w:rsid w:val="001A753D"/>
    <w:rsid w:val="001B58CD"/>
    <w:rsid w:val="001C1372"/>
    <w:rsid w:val="001D6551"/>
    <w:rsid w:val="001F0B4A"/>
    <w:rsid w:val="001F57D1"/>
    <w:rsid w:val="002014A8"/>
    <w:rsid w:val="002342E5"/>
    <w:rsid w:val="002358EE"/>
    <w:rsid w:val="00240BD2"/>
    <w:rsid w:val="00246C82"/>
    <w:rsid w:val="0026390F"/>
    <w:rsid w:val="00284704"/>
    <w:rsid w:val="002878B8"/>
    <w:rsid w:val="002A1075"/>
    <w:rsid w:val="002A3BE6"/>
    <w:rsid w:val="002B2F50"/>
    <w:rsid w:val="002B396F"/>
    <w:rsid w:val="002C59F2"/>
    <w:rsid w:val="002D7212"/>
    <w:rsid w:val="002E1860"/>
    <w:rsid w:val="002F0C90"/>
    <w:rsid w:val="002F5EDD"/>
    <w:rsid w:val="0030460F"/>
    <w:rsid w:val="003066D4"/>
    <w:rsid w:val="00321040"/>
    <w:rsid w:val="003528B8"/>
    <w:rsid w:val="00361F94"/>
    <w:rsid w:val="00365FAC"/>
    <w:rsid w:val="00380699"/>
    <w:rsid w:val="00383B39"/>
    <w:rsid w:val="00383DE3"/>
    <w:rsid w:val="003A1FD3"/>
    <w:rsid w:val="003A3CBD"/>
    <w:rsid w:val="003B59FC"/>
    <w:rsid w:val="003D0F8C"/>
    <w:rsid w:val="003D62B8"/>
    <w:rsid w:val="003E5021"/>
    <w:rsid w:val="0040642A"/>
    <w:rsid w:val="00406D7C"/>
    <w:rsid w:val="00414611"/>
    <w:rsid w:val="00424AD6"/>
    <w:rsid w:val="0043272C"/>
    <w:rsid w:val="00433629"/>
    <w:rsid w:val="00436856"/>
    <w:rsid w:val="00441507"/>
    <w:rsid w:val="00462A88"/>
    <w:rsid w:val="004872CF"/>
    <w:rsid w:val="004B3361"/>
    <w:rsid w:val="004D1575"/>
    <w:rsid w:val="004E13DB"/>
    <w:rsid w:val="004E2E5A"/>
    <w:rsid w:val="0050188A"/>
    <w:rsid w:val="00505FE3"/>
    <w:rsid w:val="00507520"/>
    <w:rsid w:val="005368E1"/>
    <w:rsid w:val="00557EF5"/>
    <w:rsid w:val="00561A87"/>
    <w:rsid w:val="00571AF0"/>
    <w:rsid w:val="00572078"/>
    <w:rsid w:val="005A68E9"/>
    <w:rsid w:val="005B701D"/>
    <w:rsid w:val="005C62DF"/>
    <w:rsid w:val="005D03F3"/>
    <w:rsid w:val="005D4857"/>
    <w:rsid w:val="005E0296"/>
    <w:rsid w:val="00615470"/>
    <w:rsid w:val="0064452A"/>
    <w:rsid w:val="006465F1"/>
    <w:rsid w:val="00664CD3"/>
    <w:rsid w:val="00672094"/>
    <w:rsid w:val="00675435"/>
    <w:rsid w:val="0068190B"/>
    <w:rsid w:val="00692043"/>
    <w:rsid w:val="006C7D91"/>
    <w:rsid w:val="006D59BC"/>
    <w:rsid w:val="006D7BFD"/>
    <w:rsid w:val="006E22CC"/>
    <w:rsid w:val="006E3556"/>
    <w:rsid w:val="006E6C2A"/>
    <w:rsid w:val="0072229A"/>
    <w:rsid w:val="00725229"/>
    <w:rsid w:val="00732DDB"/>
    <w:rsid w:val="00744089"/>
    <w:rsid w:val="00744358"/>
    <w:rsid w:val="00750E70"/>
    <w:rsid w:val="00754FD8"/>
    <w:rsid w:val="00763B83"/>
    <w:rsid w:val="00767FBB"/>
    <w:rsid w:val="00777D50"/>
    <w:rsid w:val="007A0F81"/>
    <w:rsid w:val="007B338D"/>
    <w:rsid w:val="007B58C2"/>
    <w:rsid w:val="007B6F67"/>
    <w:rsid w:val="007C118F"/>
    <w:rsid w:val="007C37B3"/>
    <w:rsid w:val="007C60D1"/>
    <w:rsid w:val="007E2472"/>
    <w:rsid w:val="007E2F9A"/>
    <w:rsid w:val="007F4BE1"/>
    <w:rsid w:val="0080520D"/>
    <w:rsid w:val="00835911"/>
    <w:rsid w:val="008360F7"/>
    <w:rsid w:val="00845EAB"/>
    <w:rsid w:val="008472D8"/>
    <w:rsid w:val="00847775"/>
    <w:rsid w:val="00851C3D"/>
    <w:rsid w:val="0085398D"/>
    <w:rsid w:val="00856A9B"/>
    <w:rsid w:val="00883F99"/>
    <w:rsid w:val="00886A05"/>
    <w:rsid w:val="008901F2"/>
    <w:rsid w:val="008A0271"/>
    <w:rsid w:val="008B25CB"/>
    <w:rsid w:val="008B28E1"/>
    <w:rsid w:val="008F0092"/>
    <w:rsid w:val="008F1A7E"/>
    <w:rsid w:val="008F64FF"/>
    <w:rsid w:val="008F6881"/>
    <w:rsid w:val="0090664F"/>
    <w:rsid w:val="00923897"/>
    <w:rsid w:val="00933515"/>
    <w:rsid w:val="00946AB2"/>
    <w:rsid w:val="00950BFF"/>
    <w:rsid w:val="00951F15"/>
    <w:rsid w:val="009722DD"/>
    <w:rsid w:val="00980173"/>
    <w:rsid w:val="00990562"/>
    <w:rsid w:val="009A123C"/>
    <w:rsid w:val="009A196A"/>
    <w:rsid w:val="009A7B26"/>
    <w:rsid w:val="009B1BAA"/>
    <w:rsid w:val="009C2DCC"/>
    <w:rsid w:val="009D259F"/>
    <w:rsid w:val="009D5800"/>
    <w:rsid w:val="00A04F14"/>
    <w:rsid w:val="00A2462C"/>
    <w:rsid w:val="00A45435"/>
    <w:rsid w:val="00A713CC"/>
    <w:rsid w:val="00A71CF3"/>
    <w:rsid w:val="00A733C6"/>
    <w:rsid w:val="00A83A4C"/>
    <w:rsid w:val="00A937A0"/>
    <w:rsid w:val="00AA53F3"/>
    <w:rsid w:val="00AB39FB"/>
    <w:rsid w:val="00AB7F02"/>
    <w:rsid w:val="00AC5F09"/>
    <w:rsid w:val="00AD303E"/>
    <w:rsid w:val="00AD447E"/>
    <w:rsid w:val="00AD5CD7"/>
    <w:rsid w:val="00AE2584"/>
    <w:rsid w:val="00B05A6D"/>
    <w:rsid w:val="00B103C6"/>
    <w:rsid w:val="00B1181E"/>
    <w:rsid w:val="00B23BA8"/>
    <w:rsid w:val="00B27B81"/>
    <w:rsid w:val="00B37746"/>
    <w:rsid w:val="00B5507C"/>
    <w:rsid w:val="00B834B9"/>
    <w:rsid w:val="00B92167"/>
    <w:rsid w:val="00BA7595"/>
    <w:rsid w:val="00BB0A73"/>
    <w:rsid w:val="00BB0F9B"/>
    <w:rsid w:val="00BC27ED"/>
    <w:rsid w:val="00BC58AF"/>
    <w:rsid w:val="00BC7ADD"/>
    <w:rsid w:val="00BF22A7"/>
    <w:rsid w:val="00BF57F0"/>
    <w:rsid w:val="00C24B39"/>
    <w:rsid w:val="00C32FC6"/>
    <w:rsid w:val="00C337C6"/>
    <w:rsid w:val="00C52C91"/>
    <w:rsid w:val="00C67D5B"/>
    <w:rsid w:val="00C720B2"/>
    <w:rsid w:val="00C769D5"/>
    <w:rsid w:val="00C91759"/>
    <w:rsid w:val="00C919CF"/>
    <w:rsid w:val="00C95EF1"/>
    <w:rsid w:val="00CB0657"/>
    <w:rsid w:val="00CB098C"/>
    <w:rsid w:val="00CB7AAF"/>
    <w:rsid w:val="00CC14E2"/>
    <w:rsid w:val="00CD2F17"/>
    <w:rsid w:val="00CD3416"/>
    <w:rsid w:val="00CE213E"/>
    <w:rsid w:val="00CE7F2B"/>
    <w:rsid w:val="00D06248"/>
    <w:rsid w:val="00D06329"/>
    <w:rsid w:val="00D06E97"/>
    <w:rsid w:val="00D14058"/>
    <w:rsid w:val="00D23F8C"/>
    <w:rsid w:val="00D301E4"/>
    <w:rsid w:val="00D62ADA"/>
    <w:rsid w:val="00D85D4F"/>
    <w:rsid w:val="00D917FA"/>
    <w:rsid w:val="00D9379F"/>
    <w:rsid w:val="00DA73DF"/>
    <w:rsid w:val="00DB3678"/>
    <w:rsid w:val="00DC7C87"/>
    <w:rsid w:val="00DD3EF5"/>
    <w:rsid w:val="00DF47C5"/>
    <w:rsid w:val="00E06B24"/>
    <w:rsid w:val="00E13CF0"/>
    <w:rsid w:val="00E14B9D"/>
    <w:rsid w:val="00E153DD"/>
    <w:rsid w:val="00E22C2D"/>
    <w:rsid w:val="00E3410C"/>
    <w:rsid w:val="00E34794"/>
    <w:rsid w:val="00E45450"/>
    <w:rsid w:val="00E54305"/>
    <w:rsid w:val="00E63D33"/>
    <w:rsid w:val="00E64350"/>
    <w:rsid w:val="00E8083B"/>
    <w:rsid w:val="00E8744F"/>
    <w:rsid w:val="00E87ACB"/>
    <w:rsid w:val="00EB406F"/>
    <w:rsid w:val="00EB4101"/>
    <w:rsid w:val="00EB4595"/>
    <w:rsid w:val="00EC26BD"/>
    <w:rsid w:val="00EC6FF7"/>
    <w:rsid w:val="00ED0D09"/>
    <w:rsid w:val="00EE07C1"/>
    <w:rsid w:val="00EE3E7E"/>
    <w:rsid w:val="00EF7B42"/>
    <w:rsid w:val="00F036FE"/>
    <w:rsid w:val="00F133FC"/>
    <w:rsid w:val="00F23D18"/>
    <w:rsid w:val="00F23E71"/>
    <w:rsid w:val="00F5056E"/>
    <w:rsid w:val="00F61CE9"/>
    <w:rsid w:val="00F77DAC"/>
    <w:rsid w:val="00F822B5"/>
    <w:rsid w:val="00F862CA"/>
    <w:rsid w:val="00F87BBB"/>
    <w:rsid w:val="00F87D9B"/>
    <w:rsid w:val="00F93392"/>
    <w:rsid w:val="00FA5EFB"/>
    <w:rsid w:val="00FC233F"/>
    <w:rsid w:val="00FC7C41"/>
    <w:rsid w:val="00FD426C"/>
    <w:rsid w:val="00FE0A90"/>
    <w:rsid w:val="00FF5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21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13E"/>
    <w:rPr>
      <w:sz w:val="20"/>
      <w:szCs w:val="20"/>
    </w:rPr>
  </w:style>
  <w:style w:type="character" w:styleId="FootnoteReference">
    <w:name w:val="footnote reference"/>
    <w:basedOn w:val="DefaultParagraphFont"/>
    <w:uiPriority w:val="99"/>
    <w:semiHidden/>
    <w:unhideWhenUsed/>
    <w:rsid w:val="00CE213E"/>
    <w:rPr>
      <w:vertAlign w:val="superscript"/>
    </w:rPr>
  </w:style>
  <w:style w:type="character" w:styleId="Hyperlink">
    <w:name w:val="Hyperlink"/>
    <w:basedOn w:val="DefaultParagraphFont"/>
    <w:uiPriority w:val="99"/>
    <w:unhideWhenUsed/>
    <w:rsid w:val="004E2E5A"/>
    <w:rPr>
      <w:color w:val="0000FF" w:themeColor="hyperlink"/>
      <w:u w:val="single"/>
    </w:rPr>
  </w:style>
  <w:style w:type="paragraph" w:styleId="ListParagraph">
    <w:name w:val="List Paragraph"/>
    <w:basedOn w:val="Normal"/>
    <w:uiPriority w:val="34"/>
    <w:qFormat/>
    <w:rsid w:val="00D62ADA"/>
    <w:pPr>
      <w:ind w:left="720"/>
      <w:contextualSpacing/>
    </w:pPr>
  </w:style>
  <w:style w:type="paragraph" w:styleId="BalloonText">
    <w:name w:val="Balloon Text"/>
    <w:basedOn w:val="Normal"/>
    <w:link w:val="BalloonTextChar"/>
    <w:uiPriority w:val="99"/>
    <w:semiHidden/>
    <w:unhideWhenUsed/>
    <w:rsid w:val="00406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42A"/>
    <w:rPr>
      <w:rFonts w:ascii="Tahoma" w:hAnsi="Tahoma" w:cs="Tahoma"/>
      <w:sz w:val="16"/>
      <w:szCs w:val="16"/>
    </w:rPr>
  </w:style>
  <w:style w:type="paragraph" w:styleId="Header">
    <w:name w:val="header"/>
    <w:basedOn w:val="Normal"/>
    <w:link w:val="HeaderChar"/>
    <w:uiPriority w:val="99"/>
    <w:unhideWhenUsed/>
    <w:rsid w:val="00507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520"/>
  </w:style>
  <w:style w:type="paragraph" w:styleId="Footer">
    <w:name w:val="footer"/>
    <w:basedOn w:val="Normal"/>
    <w:link w:val="FooterChar"/>
    <w:uiPriority w:val="99"/>
    <w:unhideWhenUsed/>
    <w:rsid w:val="00507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520"/>
  </w:style>
  <w:style w:type="paragraph" w:styleId="NoSpacing">
    <w:name w:val="No Spacing"/>
    <w:uiPriority w:val="1"/>
    <w:qFormat/>
    <w:rsid w:val="0090664F"/>
    <w:pPr>
      <w:spacing w:after="0" w:line="240" w:lineRule="auto"/>
    </w:pPr>
  </w:style>
  <w:style w:type="character" w:styleId="FollowedHyperlink">
    <w:name w:val="FollowedHyperlink"/>
    <w:basedOn w:val="DefaultParagraphFont"/>
    <w:uiPriority w:val="99"/>
    <w:semiHidden/>
    <w:unhideWhenUsed/>
    <w:rsid w:val="00A246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21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13E"/>
    <w:rPr>
      <w:sz w:val="20"/>
      <w:szCs w:val="20"/>
    </w:rPr>
  </w:style>
  <w:style w:type="character" w:styleId="FootnoteReference">
    <w:name w:val="footnote reference"/>
    <w:basedOn w:val="DefaultParagraphFont"/>
    <w:uiPriority w:val="99"/>
    <w:semiHidden/>
    <w:unhideWhenUsed/>
    <w:rsid w:val="00CE213E"/>
    <w:rPr>
      <w:vertAlign w:val="superscript"/>
    </w:rPr>
  </w:style>
  <w:style w:type="character" w:styleId="Hyperlink">
    <w:name w:val="Hyperlink"/>
    <w:basedOn w:val="DefaultParagraphFont"/>
    <w:uiPriority w:val="99"/>
    <w:unhideWhenUsed/>
    <w:rsid w:val="004E2E5A"/>
    <w:rPr>
      <w:color w:val="0000FF" w:themeColor="hyperlink"/>
      <w:u w:val="single"/>
    </w:rPr>
  </w:style>
  <w:style w:type="paragraph" w:styleId="ListParagraph">
    <w:name w:val="List Paragraph"/>
    <w:basedOn w:val="Normal"/>
    <w:uiPriority w:val="34"/>
    <w:qFormat/>
    <w:rsid w:val="00D62ADA"/>
    <w:pPr>
      <w:ind w:left="720"/>
      <w:contextualSpacing/>
    </w:pPr>
  </w:style>
  <w:style w:type="paragraph" w:styleId="BalloonText">
    <w:name w:val="Balloon Text"/>
    <w:basedOn w:val="Normal"/>
    <w:link w:val="BalloonTextChar"/>
    <w:uiPriority w:val="99"/>
    <w:semiHidden/>
    <w:unhideWhenUsed/>
    <w:rsid w:val="00406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42A"/>
    <w:rPr>
      <w:rFonts w:ascii="Tahoma" w:hAnsi="Tahoma" w:cs="Tahoma"/>
      <w:sz w:val="16"/>
      <w:szCs w:val="16"/>
    </w:rPr>
  </w:style>
  <w:style w:type="paragraph" w:styleId="Header">
    <w:name w:val="header"/>
    <w:basedOn w:val="Normal"/>
    <w:link w:val="HeaderChar"/>
    <w:uiPriority w:val="99"/>
    <w:unhideWhenUsed/>
    <w:rsid w:val="00507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520"/>
  </w:style>
  <w:style w:type="paragraph" w:styleId="Footer">
    <w:name w:val="footer"/>
    <w:basedOn w:val="Normal"/>
    <w:link w:val="FooterChar"/>
    <w:uiPriority w:val="99"/>
    <w:unhideWhenUsed/>
    <w:rsid w:val="00507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520"/>
  </w:style>
  <w:style w:type="paragraph" w:styleId="NoSpacing">
    <w:name w:val="No Spacing"/>
    <w:uiPriority w:val="1"/>
    <w:qFormat/>
    <w:rsid w:val="0090664F"/>
    <w:pPr>
      <w:spacing w:after="0" w:line="240" w:lineRule="auto"/>
    </w:pPr>
  </w:style>
  <w:style w:type="character" w:styleId="FollowedHyperlink">
    <w:name w:val="FollowedHyperlink"/>
    <w:basedOn w:val="DefaultParagraphFont"/>
    <w:uiPriority w:val="99"/>
    <w:semiHidden/>
    <w:unhideWhenUsed/>
    <w:rsid w:val="00A24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7765">
      <w:bodyDiv w:val="1"/>
      <w:marLeft w:val="0"/>
      <w:marRight w:val="0"/>
      <w:marTop w:val="0"/>
      <w:marBottom w:val="0"/>
      <w:divBdr>
        <w:top w:val="none" w:sz="0" w:space="0" w:color="auto"/>
        <w:left w:val="none" w:sz="0" w:space="0" w:color="auto"/>
        <w:bottom w:val="none" w:sz="0" w:space="0" w:color="auto"/>
        <w:right w:val="none" w:sz="0" w:space="0" w:color="auto"/>
      </w:divBdr>
    </w:div>
    <w:div w:id="126241721">
      <w:bodyDiv w:val="1"/>
      <w:marLeft w:val="0"/>
      <w:marRight w:val="0"/>
      <w:marTop w:val="0"/>
      <w:marBottom w:val="0"/>
      <w:divBdr>
        <w:top w:val="none" w:sz="0" w:space="0" w:color="auto"/>
        <w:left w:val="none" w:sz="0" w:space="0" w:color="auto"/>
        <w:bottom w:val="none" w:sz="0" w:space="0" w:color="auto"/>
        <w:right w:val="none" w:sz="0" w:space="0" w:color="auto"/>
      </w:divBdr>
    </w:div>
    <w:div w:id="143396458">
      <w:bodyDiv w:val="1"/>
      <w:marLeft w:val="0"/>
      <w:marRight w:val="0"/>
      <w:marTop w:val="0"/>
      <w:marBottom w:val="0"/>
      <w:divBdr>
        <w:top w:val="none" w:sz="0" w:space="0" w:color="auto"/>
        <w:left w:val="none" w:sz="0" w:space="0" w:color="auto"/>
        <w:bottom w:val="none" w:sz="0" w:space="0" w:color="auto"/>
        <w:right w:val="none" w:sz="0" w:space="0" w:color="auto"/>
      </w:divBdr>
    </w:div>
    <w:div w:id="216354740">
      <w:bodyDiv w:val="1"/>
      <w:marLeft w:val="0"/>
      <w:marRight w:val="0"/>
      <w:marTop w:val="0"/>
      <w:marBottom w:val="0"/>
      <w:divBdr>
        <w:top w:val="none" w:sz="0" w:space="0" w:color="auto"/>
        <w:left w:val="none" w:sz="0" w:space="0" w:color="auto"/>
        <w:bottom w:val="none" w:sz="0" w:space="0" w:color="auto"/>
        <w:right w:val="none" w:sz="0" w:space="0" w:color="auto"/>
      </w:divBdr>
    </w:div>
    <w:div w:id="653069838">
      <w:bodyDiv w:val="1"/>
      <w:marLeft w:val="0"/>
      <w:marRight w:val="0"/>
      <w:marTop w:val="0"/>
      <w:marBottom w:val="0"/>
      <w:divBdr>
        <w:top w:val="none" w:sz="0" w:space="0" w:color="auto"/>
        <w:left w:val="none" w:sz="0" w:space="0" w:color="auto"/>
        <w:bottom w:val="none" w:sz="0" w:space="0" w:color="auto"/>
        <w:right w:val="none" w:sz="0" w:space="0" w:color="auto"/>
      </w:divBdr>
    </w:div>
    <w:div w:id="685210587">
      <w:bodyDiv w:val="1"/>
      <w:marLeft w:val="0"/>
      <w:marRight w:val="0"/>
      <w:marTop w:val="0"/>
      <w:marBottom w:val="0"/>
      <w:divBdr>
        <w:top w:val="none" w:sz="0" w:space="0" w:color="auto"/>
        <w:left w:val="none" w:sz="0" w:space="0" w:color="auto"/>
        <w:bottom w:val="none" w:sz="0" w:space="0" w:color="auto"/>
        <w:right w:val="none" w:sz="0" w:space="0" w:color="auto"/>
      </w:divBdr>
    </w:div>
    <w:div w:id="919873626">
      <w:bodyDiv w:val="1"/>
      <w:marLeft w:val="0"/>
      <w:marRight w:val="0"/>
      <w:marTop w:val="0"/>
      <w:marBottom w:val="0"/>
      <w:divBdr>
        <w:top w:val="none" w:sz="0" w:space="0" w:color="auto"/>
        <w:left w:val="none" w:sz="0" w:space="0" w:color="auto"/>
        <w:bottom w:val="none" w:sz="0" w:space="0" w:color="auto"/>
        <w:right w:val="none" w:sz="0" w:space="0" w:color="auto"/>
      </w:divBdr>
    </w:div>
    <w:div w:id="1237126906">
      <w:bodyDiv w:val="1"/>
      <w:marLeft w:val="0"/>
      <w:marRight w:val="0"/>
      <w:marTop w:val="0"/>
      <w:marBottom w:val="0"/>
      <w:divBdr>
        <w:top w:val="none" w:sz="0" w:space="0" w:color="auto"/>
        <w:left w:val="none" w:sz="0" w:space="0" w:color="auto"/>
        <w:bottom w:val="none" w:sz="0" w:space="0" w:color="auto"/>
        <w:right w:val="none" w:sz="0" w:space="0" w:color="auto"/>
      </w:divBdr>
    </w:div>
    <w:div w:id="1282419078">
      <w:bodyDiv w:val="1"/>
      <w:marLeft w:val="0"/>
      <w:marRight w:val="0"/>
      <w:marTop w:val="0"/>
      <w:marBottom w:val="0"/>
      <w:divBdr>
        <w:top w:val="none" w:sz="0" w:space="0" w:color="auto"/>
        <w:left w:val="none" w:sz="0" w:space="0" w:color="auto"/>
        <w:bottom w:val="none" w:sz="0" w:space="0" w:color="auto"/>
        <w:right w:val="none" w:sz="0" w:space="0" w:color="auto"/>
      </w:divBdr>
    </w:div>
    <w:div w:id="1590892385">
      <w:bodyDiv w:val="1"/>
      <w:marLeft w:val="0"/>
      <w:marRight w:val="0"/>
      <w:marTop w:val="0"/>
      <w:marBottom w:val="0"/>
      <w:divBdr>
        <w:top w:val="none" w:sz="0" w:space="0" w:color="auto"/>
        <w:left w:val="none" w:sz="0" w:space="0" w:color="auto"/>
        <w:bottom w:val="none" w:sz="0" w:space="0" w:color="auto"/>
        <w:right w:val="none" w:sz="0" w:space="0" w:color="auto"/>
      </w:divBdr>
    </w:div>
    <w:div w:id="1733889255">
      <w:bodyDiv w:val="1"/>
      <w:marLeft w:val="0"/>
      <w:marRight w:val="0"/>
      <w:marTop w:val="0"/>
      <w:marBottom w:val="0"/>
      <w:divBdr>
        <w:top w:val="none" w:sz="0" w:space="0" w:color="auto"/>
        <w:left w:val="none" w:sz="0" w:space="0" w:color="auto"/>
        <w:bottom w:val="none" w:sz="0" w:space="0" w:color="auto"/>
        <w:right w:val="none" w:sz="0" w:space="0" w:color="auto"/>
      </w:divBdr>
    </w:div>
    <w:div w:id="1837960041">
      <w:bodyDiv w:val="1"/>
      <w:marLeft w:val="0"/>
      <w:marRight w:val="0"/>
      <w:marTop w:val="0"/>
      <w:marBottom w:val="0"/>
      <w:divBdr>
        <w:top w:val="none" w:sz="0" w:space="0" w:color="auto"/>
        <w:left w:val="none" w:sz="0" w:space="0" w:color="auto"/>
        <w:bottom w:val="none" w:sz="0" w:space="0" w:color="auto"/>
        <w:right w:val="none" w:sz="0" w:space="0" w:color="auto"/>
      </w:divBdr>
    </w:div>
    <w:div w:id="1903759959">
      <w:bodyDiv w:val="1"/>
      <w:marLeft w:val="0"/>
      <w:marRight w:val="0"/>
      <w:marTop w:val="0"/>
      <w:marBottom w:val="0"/>
      <w:divBdr>
        <w:top w:val="none" w:sz="0" w:space="0" w:color="auto"/>
        <w:left w:val="none" w:sz="0" w:space="0" w:color="auto"/>
        <w:bottom w:val="none" w:sz="0" w:space="0" w:color="auto"/>
        <w:right w:val="none" w:sz="0" w:space="0" w:color="auto"/>
      </w:divBdr>
    </w:div>
    <w:div w:id="1960644957">
      <w:bodyDiv w:val="1"/>
      <w:marLeft w:val="0"/>
      <w:marRight w:val="0"/>
      <w:marTop w:val="0"/>
      <w:marBottom w:val="0"/>
      <w:divBdr>
        <w:top w:val="none" w:sz="0" w:space="0" w:color="auto"/>
        <w:left w:val="none" w:sz="0" w:space="0" w:color="auto"/>
        <w:bottom w:val="none" w:sz="0" w:space="0" w:color="auto"/>
        <w:right w:val="none" w:sz="0" w:space="0" w:color="auto"/>
      </w:divBdr>
    </w:div>
    <w:div w:id="1968507845">
      <w:bodyDiv w:val="1"/>
      <w:marLeft w:val="0"/>
      <w:marRight w:val="0"/>
      <w:marTop w:val="0"/>
      <w:marBottom w:val="0"/>
      <w:divBdr>
        <w:top w:val="none" w:sz="0" w:space="0" w:color="auto"/>
        <w:left w:val="none" w:sz="0" w:space="0" w:color="auto"/>
        <w:bottom w:val="none" w:sz="0" w:space="0" w:color="auto"/>
        <w:right w:val="none" w:sz="0" w:space="0" w:color="auto"/>
      </w:divBdr>
    </w:div>
    <w:div w:id="1979408252">
      <w:bodyDiv w:val="1"/>
      <w:marLeft w:val="0"/>
      <w:marRight w:val="0"/>
      <w:marTop w:val="0"/>
      <w:marBottom w:val="0"/>
      <w:divBdr>
        <w:top w:val="none" w:sz="0" w:space="0" w:color="auto"/>
        <w:left w:val="none" w:sz="0" w:space="0" w:color="auto"/>
        <w:bottom w:val="none" w:sz="0" w:space="0" w:color="auto"/>
        <w:right w:val="none" w:sz="0" w:space="0" w:color="auto"/>
      </w:divBdr>
    </w:div>
    <w:div w:id="21288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yperlink" Target="http://www.artscouncil.org.uk/funding/apply-funding/funding-programmes/music-education-hubs/" TargetMode="External"/><Relationship Id="rId14" Type="http://schemas.openxmlformats.org/officeDocument/2006/relationships/chart" Target="charts/chart5.xml"/><Relationship Id="rId22" Type="http://schemas.openxmlformats.org/officeDocument/2006/relationships/chart" Target="charts/chart13.xml"/></Relationships>
</file>

<file path=word/_rels/footnotes.xml.rels><?xml version="1.0" encoding="UTF-8" standalone="yes"?>
<Relationships xmlns="http://schemas.openxmlformats.org/package/2006/relationships"><Relationship Id="rId3" Type="http://schemas.openxmlformats.org/officeDocument/2006/relationships/hyperlink" Target="http://www.artscouncil.org.uk/funding/apply-funding/funding-programmes/music-education-hubs/" TargetMode="External"/><Relationship Id="rId2" Type="http://schemas.openxmlformats.org/officeDocument/2006/relationships/hyperlink" Target="http://www.dickhallam.co.uk/articles-publications-and-reports.php" TargetMode="External"/><Relationship Id="rId1" Type="http://schemas.openxmlformats.org/officeDocument/2006/relationships/hyperlink" Target="https://www.gov.uk/government/publications/the-importance-of-music-a-national-plan-for-music-education" TargetMode="External"/><Relationship Id="rId4" Type="http://schemas.openxmlformats.org/officeDocument/2006/relationships/hyperlink" Target="http://www.dickhallam.co.uk/articles-publications-and-reports.ph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hard%20Hallam\Documents\MEC\Focus%20Groups\hubs\SurveySummary_0318201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ichard%20Hallam\Documents\MEC\Focus%20Groups\hubs\LA%20dat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ichard%20Hallam\Documents\MEC\Focus%20Groups\hubs\LA%20dat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ichard%20Hallam\Documents\MEC\Focus%20Groups\hubs\LA%20dat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Richard%20Hallam\Documents\MEC\Focus%20Groups\hubs\LA%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hard%20Hallam\Documents\MEC\Focus%20Groups\hubs\SurveySummary_0318201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chard%20Hallam\Documents\MEC\Focus%20Groups\hubs\SurveySummary_0318201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chard%20Hallam\Documents\MEC\Focus%20Groups\hubs\SurveySummary_0318201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ichard%20Hallam\Documents\MEC\Focus%20Groups\hubs\SurveySummary_0318201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ichard%20Hallam\Documents\MEC\Focus%20Groups\hubs\SurveySummary_0318201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ichard%20Hallam\Documents\MEC\Focus%20Groups\hubs\LA%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ichard%20Hallam\Documents\MEC\Focus%20Groups\hubs\LA%20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ichard%20Hallam\Documents\MEC\Focus%20Groups\hubs\LA%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GB"/>
              <a:t>Following First Access programmes, are you able to provide available and affordable clear progression routes for all who wish to continue?</a:t>
            </a:r>
          </a:p>
        </c:rich>
      </c:tx>
      <c:layout>
        <c:manualLayout>
          <c:xMode val="edge"/>
          <c:yMode val="edge"/>
          <c:x val="0.13541684893554973"/>
          <c:y val="3.5294117647058823E-2"/>
        </c:manualLayout>
      </c:layout>
      <c:overlay val="0"/>
      <c:spPr>
        <a:noFill/>
        <a:ln w="25400">
          <a:noFill/>
        </a:ln>
      </c:spPr>
    </c:title>
    <c:autoTitleDeleted val="0"/>
    <c:plotArea>
      <c:layout>
        <c:manualLayout>
          <c:layoutTarget val="inner"/>
          <c:xMode val="edge"/>
          <c:yMode val="edge"/>
          <c:x val="0.23784762547408289"/>
          <c:y val="0.29411806944805469"/>
          <c:w val="0.36632006551117879"/>
          <c:h val="0.62058912653539544"/>
        </c:manualLayout>
      </c:layout>
      <c:pieChart>
        <c:varyColors val="1"/>
        <c:ser>
          <c:idx val="0"/>
          <c:order val="0"/>
          <c:spPr>
            <a:solidFill>
              <a:srgbClr val="9999FF"/>
            </a:solidFill>
            <a:ln w="12700">
              <a:solidFill>
                <a:srgbClr val="333333"/>
              </a:solidFill>
              <a:prstDash val="solid"/>
            </a:ln>
          </c:spPr>
          <c:dPt>
            <c:idx val="0"/>
            <c:bubble3D val="0"/>
          </c:dPt>
          <c:dPt>
            <c:idx val="1"/>
            <c:bubble3D val="0"/>
            <c:spPr>
              <a:solidFill>
                <a:srgbClr val="993366"/>
              </a:solidFill>
              <a:ln w="12700">
                <a:solidFill>
                  <a:srgbClr val="333333"/>
                </a:solidFill>
                <a:prstDash val="solid"/>
              </a:ln>
            </c:spPr>
          </c:dPt>
          <c:dPt>
            <c:idx val="2"/>
            <c:bubble3D val="0"/>
            <c:spPr>
              <a:solidFill>
                <a:srgbClr val="FFFFCC"/>
              </a:solidFill>
              <a:ln w="12700">
                <a:solidFill>
                  <a:srgbClr val="333333"/>
                </a:solidFill>
                <a:prstDash val="solid"/>
              </a:ln>
            </c:spPr>
          </c:dPt>
          <c:dLbls>
            <c:txPr>
              <a:bodyPr/>
              <a:lstStyle/>
              <a:p>
                <a:pPr>
                  <a:defRPr sz="1000" b="0" i="0" u="none" strike="noStrike" baseline="0">
                    <a:solidFill>
                      <a:srgbClr val="333333"/>
                    </a:solidFill>
                    <a:latin typeface="Microsoft Sans Serif"/>
                    <a:ea typeface="Microsoft Sans Serif"/>
                    <a:cs typeface="Microsoft Sans Serif"/>
                  </a:defRPr>
                </a:pPr>
                <a:endParaRPr lang="en-US"/>
              </a:p>
            </c:txPr>
            <c:dLblPos val="outEnd"/>
            <c:showLegendKey val="0"/>
            <c:showVal val="1"/>
            <c:showCatName val="0"/>
            <c:showSerName val="0"/>
            <c:showPercent val="0"/>
            <c:showBubbleSize val="0"/>
            <c:showLeaderLines val="1"/>
          </c:dLbls>
          <c:cat>
            <c:strRef>
              <c:f>'Question 2'!$A$4:$A$6</c:f>
              <c:strCache>
                <c:ptCount val="3"/>
                <c:pt idx="0">
                  <c:v>Yes</c:v>
                </c:pt>
                <c:pt idx="1">
                  <c:v>No</c:v>
                </c:pt>
                <c:pt idx="2">
                  <c:v>Don't Know</c:v>
                </c:pt>
              </c:strCache>
            </c:strRef>
          </c:cat>
          <c:val>
            <c:numRef>
              <c:f>'Question 2'!$C$4:$C$6</c:f>
              <c:numCache>
                <c:formatCode>0.0%</c:formatCode>
                <c:ptCount val="3"/>
                <c:pt idx="0">
                  <c:v>0.753</c:v>
                </c:pt>
                <c:pt idx="1">
                  <c:v>0.221</c:v>
                </c:pt>
                <c:pt idx="2">
                  <c:v>2.6000000000000002E-2</c:v>
                </c:pt>
              </c:numCache>
            </c:numRef>
          </c:val>
        </c:ser>
        <c:dLbls>
          <c:dLblPos val="outEnd"/>
          <c:showLegendKey val="0"/>
          <c:showVal val="1"/>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83680701370661992"/>
          <c:y val="0.51176532345221548"/>
          <c:w val="0.14930573782443857"/>
          <c:h val="0.18823560290257835"/>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Foundation Standards</a:t>
            </a:r>
          </a:p>
        </c:rich>
      </c:tx>
      <c:overlay val="1"/>
    </c:title>
    <c:autoTitleDeleted val="0"/>
    <c:plotArea>
      <c:layout/>
      <c:barChart>
        <c:barDir val="col"/>
        <c:grouping val="clustered"/>
        <c:varyColors val="0"/>
        <c:ser>
          <c:idx val="0"/>
          <c:order val="0"/>
          <c:invertIfNegative val="0"/>
          <c:val>
            <c:numRef>
              <c:f>Progression!$R$1:$R$28</c:f>
              <c:numCache>
                <c:formatCode>0.0%</c:formatCode>
                <c:ptCount val="28"/>
                <c:pt idx="0">
                  <c:v>5.898174831892411E-2</c:v>
                </c:pt>
                <c:pt idx="1">
                  <c:v>5.9043495374926196E-2</c:v>
                </c:pt>
                <c:pt idx="2">
                  <c:v>7.6447527141133897E-2</c:v>
                </c:pt>
                <c:pt idx="3">
                  <c:v>8.3190394511149235E-2</c:v>
                </c:pt>
                <c:pt idx="4">
                  <c:v>0.11046556665892013</c:v>
                </c:pt>
                <c:pt idx="5">
                  <c:v>0.11224788073662671</c:v>
                </c:pt>
                <c:pt idx="6">
                  <c:v>0.1233437725849193</c:v>
                </c:pt>
                <c:pt idx="7">
                  <c:v>0.12958888245512448</c:v>
                </c:pt>
                <c:pt idx="8">
                  <c:v>0.13507818564932905</c:v>
                </c:pt>
                <c:pt idx="9">
                  <c:v>0.13788176460082158</c:v>
                </c:pt>
                <c:pt idx="10">
                  <c:v>0.14202226345083488</c:v>
                </c:pt>
                <c:pt idx="11">
                  <c:v>0.16422238793603447</c:v>
                </c:pt>
                <c:pt idx="12">
                  <c:v>0.16511266511266512</c:v>
                </c:pt>
                <c:pt idx="13">
                  <c:v>0.165633035849342</c:v>
                </c:pt>
                <c:pt idx="14">
                  <c:v>0.1720054842328306</c:v>
                </c:pt>
                <c:pt idx="15">
                  <c:v>0.1838523009093414</c:v>
                </c:pt>
                <c:pt idx="16">
                  <c:v>0.2000433463372345</c:v>
                </c:pt>
                <c:pt idx="17">
                  <c:v>0.21764886747975812</c:v>
                </c:pt>
                <c:pt idx="18">
                  <c:v>0.22160111798762228</c:v>
                </c:pt>
                <c:pt idx="19">
                  <c:v>0.22609589681278625</c:v>
                </c:pt>
                <c:pt idx="20">
                  <c:v>0.25281899109792283</c:v>
                </c:pt>
                <c:pt idx="21">
                  <c:v>0.28479564032697546</c:v>
                </c:pt>
                <c:pt idx="22">
                  <c:v>0.29090909090909089</c:v>
                </c:pt>
                <c:pt idx="23">
                  <c:v>0.30149088901159582</c:v>
                </c:pt>
                <c:pt idx="24">
                  <c:v>0.32390105000889841</c:v>
                </c:pt>
                <c:pt idx="25">
                  <c:v>0.38060384263494967</c:v>
                </c:pt>
                <c:pt idx="26">
                  <c:v>0.45834330859468519</c:v>
                </c:pt>
                <c:pt idx="27">
                  <c:v>0.48029664097717029</c:v>
                </c:pt>
              </c:numCache>
            </c:numRef>
          </c:val>
        </c:ser>
        <c:dLbls>
          <c:showLegendKey val="0"/>
          <c:showVal val="0"/>
          <c:showCatName val="0"/>
          <c:showSerName val="0"/>
          <c:showPercent val="0"/>
          <c:showBubbleSize val="0"/>
        </c:dLbls>
        <c:gapWidth val="150"/>
        <c:axId val="131229184"/>
        <c:axId val="131230720"/>
      </c:barChart>
      <c:catAx>
        <c:axId val="131229184"/>
        <c:scaling>
          <c:orientation val="minMax"/>
        </c:scaling>
        <c:delete val="0"/>
        <c:axPos val="b"/>
        <c:majorTickMark val="out"/>
        <c:minorTickMark val="none"/>
        <c:tickLblPos val="nextTo"/>
        <c:crossAx val="131230720"/>
        <c:crosses val="autoZero"/>
        <c:auto val="1"/>
        <c:lblAlgn val="ctr"/>
        <c:lblOffset val="100"/>
        <c:noMultiLvlLbl val="0"/>
      </c:catAx>
      <c:valAx>
        <c:axId val="131230720"/>
        <c:scaling>
          <c:orientation val="minMax"/>
        </c:scaling>
        <c:delete val="0"/>
        <c:axPos val="l"/>
        <c:majorGridlines/>
        <c:numFmt formatCode="0.0%" sourceLinked="1"/>
        <c:majorTickMark val="out"/>
        <c:minorTickMark val="none"/>
        <c:tickLblPos val="nextTo"/>
        <c:crossAx val="13122918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Intermediate Level standards</a:t>
            </a:r>
          </a:p>
        </c:rich>
      </c:tx>
      <c:overlay val="1"/>
    </c:title>
    <c:autoTitleDeleted val="0"/>
    <c:plotArea>
      <c:layout/>
      <c:barChart>
        <c:barDir val="col"/>
        <c:grouping val="clustered"/>
        <c:varyColors val="0"/>
        <c:ser>
          <c:idx val="0"/>
          <c:order val="0"/>
          <c:invertIfNegative val="0"/>
          <c:val>
            <c:numRef>
              <c:f>Progression!$AF$1:$AF$28</c:f>
              <c:numCache>
                <c:formatCode>0.0%</c:formatCode>
                <c:ptCount val="28"/>
                <c:pt idx="0">
                  <c:v>1.0291595197255575E-2</c:v>
                </c:pt>
                <c:pt idx="1">
                  <c:v>1.191162343900096E-2</c:v>
                </c:pt>
                <c:pt idx="2">
                  <c:v>1.4695254155625151E-2</c:v>
                </c:pt>
                <c:pt idx="3">
                  <c:v>1.6586248492159228E-2</c:v>
                </c:pt>
                <c:pt idx="4">
                  <c:v>1.7291335638844753E-2</c:v>
                </c:pt>
                <c:pt idx="5">
                  <c:v>1.7909860263727612E-2</c:v>
                </c:pt>
                <c:pt idx="6">
                  <c:v>1.8038935524200751E-2</c:v>
                </c:pt>
                <c:pt idx="7">
                  <c:v>2.5017955470433326E-2</c:v>
                </c:pt>
                <c:pt idx="8">
                  <c:v>2.6159554730983303E-2</c:v>
                </c:pt>
                <c:pt idx="9">
                  <c:v>3.1683321713533191E-2</c:v>
                </c:pt>
                <c:pt idx="10">
                  <c:v>3.2148479575772639E-2</c:v>
                </c:pt>
                <c:pt idx="11">
                  <c:v>3.5395552866434733E-2</c:v>
                </c:pt>
                <c:pt idx="12">
                  <c:v>3.5662087109032445E-2</c:v>
                </c:pt>
                <c:pt idx="13">
                  <c:v>3.5936285936285936E-2</c:v>
                </c:pt>
                <c:pt idx="14">
                  <c:v>3.7494581707845684E-2</c:v>
                </c:pt>
                <c:pt idx="15">
                  <c:v>4.0534582529622484E-2</c:v>
                </c:pt>
                <c:pt idx="16">
                  <c:v>4.3659525188187609E-2</c:v>
                </c:pt>
                <c:pt idx="17">
                  <c:v>5.0354223433242508E-2</c:v>
                </c:pt>
                <c:pt idx="18">
                  <c:v>5.5007208605966508E-2</c:v>
                </c:pt>
                <c:pt idx="19">
                  <c:v>5.5786350148367955E-2</c:v>
                </c:pt>
                <c:pt idx="20">
                  <c:v>5.8698075711308223E-2</c:v>
                </c:pt>
                <c:pt idx="21">
                  <c:v>6.0949769412937803E-2</c:v>
                </c:pt>
                <c:pt idx="22">
                  <c:v>6.1299176578225069E-2</c:v>
                </c:pt>
                <c:pt idx="23">
                  <c:v>6.1888600519065681E-2</c:v>
                </c:pt>
                <c:pt idx="24">
                  <c:v>6.2396466040861402E-2</c:v>
                </c:pt>
                <c:pt idx="25">
                  <c:v>6.512247617095418E-2</c:v>
                </c:pt>
                <c:pt idx="26">
                  <c:v>9.4856736074034526E-2</c:v>
                </c:pt>
                <c:pt idx="27">
                  <c:v>0.14545454545454545</c:v>
                </c:pt>
              </c:numCache>
            </c:numRef>
          </c:val>
        </c:ser>
        <c:dLbls>
          <c:showLegendKey val="0"/>
          <c:showVal val="0"/>
          <c:showCatName val="0"/>
          <c:showSerName val="0"/>
          <c:showPercent val="0"/>
          <c:showBubbleSize val="0"/>
        </c:dLbls>
        <c:gapWidth val="150"/>
        <c:axId val="131259008"/>
        <c:axId val="131400064"/>
      </c:barChart>
      <c:catAx>
        <c:axId val="131259008"/>
        <c:scaling>
          <c:orientation val="minMax"/>
        </c:scaling>
        <c:delete val="0"/>
        <c:axPos val="b"/>
        <c:majorTickMark val="out"/>
        <c:minorTickMark val="none"/>
        <c:tickLblPos val="nextTo"/>
        <c:crossAx val="131400064"/>
        <c:crosses val="autoZero"/>
        <c:auto val="1"/>
        <c:lblAlgn val="ctr"/>
        <c:lblOffset val="100"/>
        <c:noMultiLvlLbl val="0"/>
      </c:catAx>
      <c:valAx>
        <c:axId val="131400064"/>
        <c:scaling>
          <c:orientation val="minMax"/>
        </c:scaling>
        <c:delete val="0"/>
        <c:axPos val="l"/>
        <c:majorGridlines/>
        <c:numFmt formatCode="0.0%" sourceLinked="1"/>
        <c:majorTickMark val="out"/>
        <c:minorTickMark val="none"/>
        <c:tickLblPos val="nextTo"/>
        <c:crossAx val="13125900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Advanced Level standards</a:t>
            </a:r>
          </a:p>
        </c:rich>
      </c:tx>
      <c:overlay val="1"/>
    </c:title>
    <c:autoTitleDeleted val="0"/>
    <c:plotArea>
      <c:layout/>
      <c:barChart>
        <c:barDir val="col"/>
        <c:grouping val="clustered"/>
        <c:varyColors val="0"/>
        <c:ser>
          <c:idx val="0"/>
          <c:order val="0"/>
          <c:invertIfNegative val="0"/>
          <c:val>
            <c:numRef>
              <c:f>Progression!$AT$1:$AT$27</c:f>
              <c:numCache>
                <c:formatCode>0.0%</c:formatCode>
                <c:ptCount val="27"/>
                <c:pt idx="0">
                  <c:v>2.6499638641291254E-3</c:v>
                </c:pt>
                <c:pt idx="1">
                  <c:v>4.0345821325648411E-3</c:v>
                </c:pt>
                <c:pt idx="2">
                  <c:v>4.8250904704463205E-3</c:v>
                </c:pt>
                <c:pt idx="3">
                  <c:v>5.1171029324936033E-3</c:v>
                </c:pt>
                <c:pt idx="4">
                  <c:v>6.355734180764557E-3</c:v>
                </c:pt>
                <c:pt idx="5">
                  <c:v>7.5412975819966485E-3</c:v>
                </c:pt>
                <c:pt idx="6">
                  <c:v>8.2157528130023215E-3</c:v>
                </c:pt>
                <c:pt idx="7">
                  <c:v>1.0856985395425737E-2</c:v>
                </c:pt>
                <c:pt idx="8">
                  <c:v>1.2864493996569469E-2</c:v>
                </c:pt>
                <c:pt idx="9">
                  <c:v>1.4030985092078339E-2</c:v>
                </c:pt>
                <c:pt idx="10">
                  <c:v>1.4369989411586749E-2</c:v>
                </c:pt>
                <c:pt idx="11">
                  <c:v>1.4984113969457825E-2</c:v>
                </c:pt>
                <c:pt idx="12">
                  <c:v>1.572546285537222E-2</c:v>
                </c:pt>
                <c:pt idx="13">
                  <c:v>1.5769944341372914E-2</c:v>
                </c:pt>
                <c:pt idx="14">
                  <c:v>1.7338534893801473E-2</c:v>
                </c:pt>
                <c:pt idx="15">
                  <c:v>1.8648018648018648E-2</c:v>
                </c:pt>
                <c:pt idx="16">
                  <c:v>1.8991097922848664E-2</c:v>
                </c:pt>
                <c:pt idx="17">
                  <c:v>1.9057088408318833E-2</c:v>
                </c:pt>
                <c:pt idx="18">
                  <c:v>1.9400544959128064E-2</c:v>
                </c:pt>
                <c:pt idx="19">
                  <c:v>2.1771858714533875E-2</c:v>
                </c:pt>
                <c:pt idx="20">
                  <c:v>3.0369961347321922E-2</c:v>
                </c:pt>
                <c:pt idx="21">
                  <c:v>3.054501896586145E-2</c:v>
                </c:pt>
                <c:pt idx="22">
                  <c:v>3.4525716319629828E-2</c:v>
                </c:pt>
                <c:pt idx="23">
                  <c:v>3.6153931462792506E-2</c:v>
                </c:pt>
                <c:pt idx="24">
                  <c:v>4.0957781978575927E-2</c:v>
                </c:pt>
                <c:pt idx="25">
                  <c:v>4.1879596161037015E-2</c:v>
                </c:pt>
                <c:pt idx="26">
                  <c:v>4.2086001829826164E-2</c:v>
                </c:pt>
              </c:numCache>
            </c:numRef>
          </c:val>
        </c:ser>
        <c:dLbls>
          <c:showLegendKey val="0"/>
          <c:showVal val="0"/>
          <c:showCatName val="0"/>
          <c:showSerName val="0"/>
          <c:showPercent val="0"/>
          <c:showBubbleSize val="0"/>
        </c:dLbls>
        <c:gapWidth val="150"/>
        <c:axId val="131416064"/>
        <c:axId val="131417600"/>
      </c:barChart>
      <c:catAx>
        <c:axId val="131416064"/>
        <c:scaling>
          <c:orientation val="minMax"/>
        </c:scaling>
        <c:delete val="0"/>
        <c:axPos val="b"/>
        <c:majorTickMark val="out"/>
        <c:minorTickMark val="none"/>
        <c:tickLblPos val="nextTo"/>
        <c:crossAx val="131417600"/>
        <c:crosses val="autoZero"/>
        <c:auto val="1"/>
        <c:lblAlgn val="ctr"/>
        <c:lblOffset val="100"/>
        <c:noMultiLvlLbl val="0"/>
      </c:catAx>
      <c:valAx>
        <c:axId val="131417600"/>
        <c:scaling>
          <c:orientation val="minMax"/>
        </c:scaling>
        <c:delete val="0"/>
        <c:axPos val="l"/>
        <c:majorGridlines/>
        <c:numFmt formatCode="0.0%" sourceLinked="1"/>
        <c:majorTickMark val="out"/>
        <c:minorTickMark val="none"/>
        <c:tickLblPos val="nextTo"/>
        <c:crossAx val="13141606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Singing Strategy</a:t>
            </a:r>
          </a:p>
        </c:rich>
      </c:tx>
      <c:overlay val="1"/>
    </c:title>
    <c:autoTitleDeleted val="0"/>
    <c:plotArea>
      <c:layout/>
      <c:barChart>
        <c:barDir val="col"/>
        <c:grouping val="clustered"/>
        <c:varyColors val="0"/>
        <c:ser>
          <c:idx val="0"/>
          <c:order val="0"/>
          <c:invertIfNegative val="0"/>
          <c:val>
            <c:numRef>
              <c:f>Singing!$H$3:$H$29</c:f>
              <c:numCache>
                <c:formatCode>0%</c:formatCode>
                <c:ptCount val="27"/>
                <c:pt idx="0">
                  <c:v>0.13861386138613863</c:v>
                </c:pt>
                <c:pt idx="1">
                  <c:v>0.28616352201257861</c:v>
                </c:pt>
                <c:pt idx="2">
                  <c:v>0.3016759776536313</c:v>
                </c:pt>
                <c:pt idx="3">
                  <c:v>0.32075471698113206</c:v>
                </c:pt>
                <c:pt idx="4">
                  <c:v>0.32142857142857145</c:v>
                </c:pt>
                <c:pt idx="5">
                  <c:v>0.33333333333333331</c:v>
                </c:pt>
                <c:pt idx="6">
                  <c:v>0.41042345276872966</c:v>
                </c:pt>
                <c:pt idx="7">
                  <c:v>0.49863760217983649</c:v>
                </c:pt>
                <c:pt idx="8">
                  <c:v>0.54385964912280704</c:v>
                </c:pt>
                <c:pt idx="9">
                  <c:v>0.55172413793103448</c:v>
                </c:pt>
                <c:pt idx="10">
                  <c:v>0.5714285714285714</c:v>
                </c:pt>
                <c:pt idx="11">
                  <c:v>0.59292035398230092</c:v>
                </c:pt>
                <c:pt idx="12">
                  <c:v>0.61842105263157898</c:v>
                </c:pt>
                <c:pt idx="13">
                  <c:v>0.69696969696969702</c:v>
                </c:pt>
                <c:pt idx="14">
                  <c:v>0.72499999999999998</c:v>
                </c:pt>
                <c:pt idx="15">
                  <c:v>0.72523364485981312</c:v>
                </c:pt>
                <c:pt idx="16">
                  <c:v>0.73190348525469173</c:v>
                </c:pt>
                <c:pt idx="17">
                  <c:v>0.74336283185840712</c:v>
                </c:pt>
                <c:pt idx="18">
                  <c:v>0.75</c:v>
                </c:pt>
                <c:pt idx="19">
                  <c:v>0.76</c:v>
                </c:pt>
                <c:pt idx="20">
                  <c:v>0.7640449438202247</c:v>
                </c:pt>
                <c:pt idx="21">
                  <c:v>0.77590361445783129</c:v>
                </c:pt>
                <c:pt idx="22">
                  <c:v>0.7831325301204819</c:v>
                </c:pt>
                <c:pt idx="23">
                  <c:v>0.78947368421052633</c:v>
                </c:pt>
                <c:pt idx="24">
                  <c:v>0.81967213114754101</c:v>
                </c:pt>
                <c:pt idx="25">
                  <c:v>0.99425287356321834</c:v>
                </c:pt>
                <c:pt idx="26">
                  <c:v>1</c:v>
                </c:pt>
              </c:numCache>
            </c:numRef>
          </c:val>
        </c:ser>
        <c:dLbls>
          <c:showLegendKey val="0"/>
          <c:showVal val="0"/>
          <c:showCatName val="0"/>
          <c:showSerName val="0"/>
          <c:showPercent val="0"/>
          <c:showBubbleSize val="0"/>
        </c:dLbls>
        <c:gapWidth val="150"/>
        <c:axId val="131441792"/>
        <c:axId val="131443328"/>
      </c:barChart>
      <c:catAx>
        <c:axId val="131441792"/>
        <c:scaling>
          <c:orientation val="minMax"/>
        </c:scaling>
        <c:delete val="0"/>
        <c:axPos val="b"/>
        <c:majorTickMark val="out"/>
        <c:minorTickMark val="none"/>
        <c:tickLblPos val="nextTo"/>
        <c:crossAx val="131443328"/>
        <c:crosses val="autoZero"/>
        <c:auto val="1"/>
        <c:lblAlgn val="ctr"/>
        <c:lblOffset val="100"/>
        <c:noMultiLvlLbl val="0"/>
      </c:catAx>
      <c:valAx>
        <c:axId val="131443328"/>
        <c:scaling>
          <c:orientation val="minMax"/>
          <c:max val="1"/>
        </c:scaling>
        <c:delete val="0"/>
        <c:axPos val="l"/>
        <c:majorGridlines/>
        <c:numFmt formatCode="0%" sourceLinked="1"/>
        <c:majorTickMark val="out"/>
        <c:minorTickMark val="none"/>
        <c:tickLblPos val="nextTo"/>
        <c:crossAx val="1314417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GB"/>
              <a:t>For all existing young people who learn through your music service and who wish to continue, are you able to provide available and affordable clear progression routes?</a:t>
            </a:r>
          </a:p>
        </c:rich>
      </c:tx>
      <c:layout>
        <c:manualLayout>
          <c:xMode val="edge"/>
          <c:yMode val="edge"/>
          <c:x val="0.14756962671332749"/>
          <c:y val="3.5294117647058823E-2"/>
        </c:manualLayout>
      </c:layout>
      <c:overlay val="0"/>
      <c:spPr>
        <a:noFill/>
        <a:ln w="25400">
          <a:noFill/>
        </a:ln>
      </c:spPr>
    </c:title>
    <c:autoTitleDeleted val="0"/>
    <c:plotArea>
      <c:layout>
        <c:manualLayout>
          <c:layoutTarget val="inner"/>
          <c:xMode val="edge"/>
          <c:yMode val="edge"/>
          <c:x val="0.23784762547408289"/>
          <c:y val="0.29411806944805469"/>
          <c:w val="0.36632006551117879"/>
          <c:h val="0.62058912653539544"/>
        </c:manualLayout>
      </c:layout>
      <c:pieChart>
        <c:varyColors val="1"/>
        <c:ser>
          <c:idx val="0"/>
          <c:order val="0"/>
          <c:spPr>
            <a:solidFill>
              <a:srgbClr val="9999FF"/>
            </a:solidFill>
            <a:ln w="12700">
              <a:solidFill>
                <a:srgbClr val="333333"/>
              </a:solidFill>
              <a:prstDash val="solid"/>
            </a:ln>
          </c:spPr>
          <c:dPt>
            <c:idx val="0"/>
            <c:bubble3D val="0"/>
          </c:dPt>
          <c:dPt>
            <c:idx val="1"/>
            <c:bubble3D val="0"/>
            <c:spPr>
              <a:solidFill>
                <a:srgbClr val="993366"/>
              </a:solidFill>
              <a:ln w="12700">
                <a:solidFill>
                  <a:srgbClr val="333333"/>
                </a:solidFill>
                <a:prstDash val="solid"/>
              </a:ln>
            </c:spPr>
          </c:dPt>
          <c:dPt>
            <c:idx val="2"/>
            <c:bubble3D val="0"/>
            <c:spPr>
              <a:solidFill>
                <a:srgbClr val="FFFFCC"/>
              </a:solidFill>
              <a:ln w="12700">
                <a:solidFill>
                  <a:srgbClr val="333333"/>
                </a:solidFill>
                <a:prstDash val="solid"/>
              </a:ln>
            </c:spPr>
          </c:dPt>
          <c:dLbls>
            <c:txPr>
              <a:bodyPr/>
              <a:lstStyle/>
              <a:p>
                <a:pPr>
                  <a:defRPr sz="1000" b="0" i="0" u="none" strike="noStrike" baseline="0">
                    <a:solidFill>
                      <a:srgbClr val="333333"/>
                    </a:solidFill>
                    <a:latin typeface="Microsoft Sans Serif"/>
                    <a:ea typeface="Microsoft Sans Serif"/>
                    <a:cs typeface="Microsoft Sans Serif"/>
                  </a:defRPr>
                </a:pPr>
                <a:endParaRPr lang="en-US"/>
              </a:p>
            </c:txPr>
            <c:dLblPos val="outEnd"/>
            <c:showLegendKey val="0"/>
            <c:showVal val="1"/>
            <c:showCatName val="0"/>
            <c:showSerName val="0"/>
            <c:showPercent val="0"/>
            <c:showBubbleSize val="0"/>
            <c:showLeaderLines val="1"/>
          </c:dLbls>
          <c:cat>
            <c:strRef>
              <c:f>'Question 3'!$A$4:$A$6</c:f>
              <c:strCache>
                <c:ptCount val="3"/>
                <c:pt idx="0">
                  <c:v>Yes</c:v>
                </c:pt>
                <c:pt idx="1">
                  <c:v>No</c:v>
                </c:pt>
                <c:pt idx="2">
                  <c:v>Don't Know</c:v>
                </c:pt>
              </c:strCache>
            </c:strRef>
          </c:cat>
          <c:val>
            <c:numRef>
              <c:f>'Question 3'!$C$4:$C$6</c:f>
              <c:numCache>
                <c:formatCode>0.0%</c:formatCode>
                <c:ptCount val="3"/>
                <c:pt idx="0">
                  <c:v>0.81799999999999995</c:v>
                </c:pt>
                <c:pt idx="1">
                  <c:v>0.14300000000000002</c:v>
                </c:pt>
                <c:pt idx="2">
                  <c:v>3.9E-2</c:v>
                </c:pt>
              </c:numCache>
            </c:numRef>
          </c:val>
        </c:ser>
        <c:dLbls>
          <c:dLblPos val="outEnd"/>
          <c:showLegendKey val="0"/>
          <c:showVal val="1"/>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83680701370661992"/>
          <c:y val="0.51176532345221548"/>
          <c:w val="0.14930573782443857"/>
          <c:h val="0.18823560290257835"/>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GB"/>
              <a:t>Since September 2012, progression routes through to ensembles have improved.</a:t>
            </a:r>
          </a:p>
        </c:rich>
      </c:tx>
      <c:layout>
        <c:manualLayout>
          <c:xMode val="edge"/>
          <c:yMode val="edge"/>
          <c:x val="0.11111129337999416"/>
          <c:y val="3.5294117647058823E-2"/>
        </c:manualLayout>
      </c:layout>
      <c:overlay val="0"/>
      <c:spPr>
        <a:noFill/>
        <a:ln w="25400">
          <a:noFill/>
        </a:ln>
      </c:spPr>
    </c:title>
    <c:autoTitleDeleted val="0"/>
    <c:plotArea>
      <c:layout>
        <c:manualLayout>
          <c:layoutTarget val="inner"/>
          <c:xMode val="edge"/>
          <c:yMode val="edge"/>
          <c:x val="0.18923643194653311"/>
          <c:y val="0.24705917833636595"/>
          <c:w val="0.39236177632950903"/>
          <c:h val="0.66470683695260357"/>
        </c:manualLayout>
      </c:layout>
      <c:pieChart>
        <c:varyColors val="1"/>
        <c:ser>
          <c:idx val="0"/>
          <c:order val="0"/>
          <c:spPr>
            <a:solidFill>
              <a:srgbClr val="9999FF"/>
            </a:solidFill>
            <a:ln w="12700">
              <a:solidFill>
                <a:srgbClr val="333333"/>
              </a:solidFill>
              <a:prstDash val="solid"/>
            </a:ln>
          </c:spPr>
          <c:dPt>
            <c:idx val="0"/>
            <c:bubble3D val="0"/>
          </c:dPt>
          <c:dPt>
            <c:idx val="1"/>
            <c:bubble3D val="0"/>
            <c:spPr>
              <a:solidFill>
                <a:srgbClr val="993366"/>
              </a:solidFill>
              <a:ln w="12700">
                <a:solidFill>
                  <a:srgbClr val="333333"/>
                </a:solidFill>
                <a:prstDash val="solid"/>
              </a:ln>
            </c:spPr>
          </c:dPt>
          <c:dPt>
            <c:idx val="2"/>
            <c:bubble3D val="0"/>
            <c:spPr>
              <a:solidFill>
                <a:srgbClr val="FFFFCC"/>
              </a:solidFill>
              <a:ln w="12700">
                <a:solidFill>
                  <a:srgbClr val="333333"/>
                </a:solidFill>
                <a:prstDash val="solid"/>
              </a:ln>
            </c:spPr>
          </c:dPt>
          <c:dPt>
            <c:idx val="3"/>
            <c:bubble3D val="0"/>
            <c:spPr>
              <a:solidFill>
                <a:srgbClr val="CCFFFF"/>
              </a:solidFill>
              <a:ln w="12700">
                <a:solidFill>
                  <a:srgbClr val="333333"/>
                </a:solidFill>
                <a:prstDash val="solid"/>
              </a:ln>
            </c:spPr>
          </c:dPt>
          <c:dPt>
            <c:idx val="4"/>
            <c:bubble3D val="0"/>
            <c:spPr>
              <a:solidFill>
                <a:srgbClr val="660066"/>
              </a:solidFill>
              <a:ln w="12700">
                <a:solidFill>
                  <a:srgbClr val="333333"/>
                </a:solidFill>
                <a:prstDash val="solid"/>
              </a:ln>
            </c:spPr>
          </c:dPt>
          <c:dLbls>
            <c:txPr>
              <a:bodyPr/>
              <a:lstStyle/>
              <a:p>
                <a:pPr>
                  <a:defRPr sz="1000" b="0" i="0" u="none" strike="noStrike" baseline="0">
                    <a:solidFill>
                      <a:srgbClr val="333333"/>
                    </a:solidFill>
                    <a:latin typeface="Microsoft Sans Serif"/>
                    <a:ea typeface="Microsoft Sans Serif"/>
                    <a:cs typeface="Microsoft Sans Serif"/>
                  </a:defRPr>
                </a:pPr>
                <a:endParaRPr lang="en-US"/>
              </a:p>
            </c:txPr>
            <c:dLblPos val="outEnd"/>
            <c:showLegendKey val="0"/>
            <c:showVal val="1"/>
            <c:showCatName val="0"/>
            <c:showSerName val="0"/>
            <c:showPercent val="0"/>
            <c:showBubbleSize val="0"/>
            <c:showLeaderLines val="1"/>
          </c:dLbls>
          <c:cat>
            <c:strRef>
              <c:f>'Question 6'!$A$4:$A$8</c:f>
              <c:strCache>
                <c:ptCount val="5"/>
                <c:pt idx="0">
                  <c:v>Agree Strongly</c:v>
                </c:pt>
                <c:pt idx="1">
                  <c:v>Agree</c:v>
                </c:pt>
                <c:pt idx="2">
                  <c:v>Disagree</c:v>
                </c:pt>
                <c:pt idx="3">
                  <c:v>Disagree Strongly</c:v>
                </c:pt>
                <c:pt idx="4">
                  <c:v>Don't Know</c:v>
                </c:pt>
              </c:strCache>
            </c:strRef>
          </c:cat>
          <c:val>
            <c:numRef>
              <c:f>'Question 6'!$C$4:$C$8</c:f>
              <c:numCache>
                <c:formatCode>0.0%</c:formatCode>
                <c:ptCount val="5"/>
                <c:pt idx="0">
                  <c:v>0.11699999999999999</c:v>
                </c:pt>
                <c:pt idx="1">
                  <c:v>0.58399999999999996</c:v>
                </c:pt>
                <c:pt idx="2">
                  <c:v>0.23399999999999999</c:v>
                </c:pt>
                <c:pt idx="3">
                  <c:v>1.3000000000000001E-2</c:v>
                </c:pt>
                <c:pt idx="4">
                  <c:v>5.2000000000000005E-2</c:v>
                </c:pt>
              </c:numCache>
            </c:numRef>
          </c:val>
        </c:ser>
        <c:dLbls>
          <c:dLblPos val="outEnd"/>
          <c:showLegendKey val="0"/>
          <c:showVal val="1"/>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7638901647710703"/>
          <c:y val="0.42353002933456846"/>
          <c:w val="0.22222258675998829"/>
          <c:h val="0.31176501466728418"/>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GB"/>
              <a:t>Since September 2012, the terms and conditions under which staff are engaged have improved</a:t>
            </a:r>
          </a:p>
        </c:rich>
      </c:tx>
      <c:layout>
        <c:manualLayout>
          <c:xMode val="edge"/>
          <c:yMode val="edge"/>
          <c:x val="0.10763907115777194"/>
          <c:y val="3.5294117647058823E-2"/>
        </c:manualLayout>
      </c:layout>
      <c:overlay val="0"/>
      <c:spPr>
        <a:noFill/>
        <a:ln w="25400">
          <a:noFill/>
        </a:ln>
      </c:spPr>
    </c:title>
    <c:autoTitleDeleted val="0"/>
    <c:plotArea>
      <c:layout>
        <c:manualLayout>
          <c:layoutTarget val="inner"/>
          <c:xMode val="edge"/>
          <c:yMode val="edge"/>
          <c:x val="0.18923643194653311"/>
          <c:y val="0.24705917833636595"/>
          <c:w val="0.39236177632950903"/>
          <c:h val="0.66470683695260357"/>
        </c:manualLayout>
      </c:layout>
      <c:pieChart>
        <c:varyColors val="1"/>
        <c:ser>
          <c:idx val="0"/>
          <c:order val="0"/>
          <c:spPr>
            <a:solidFill>
              <a:srgbClr val="9999FF"/>
            </a:solidFill>
            <a:ln w="12700">
              <a:solidFill>
                <a:srgbClr val="333333"/>
              </a:solidFill>
              <a:prstDash val="solid"/>
            </a:ln>
          </c:spPr>
          <c:dPt>
            <c:idx val="0"/>
            <c:bubble3D val="0"/>
          </c:dPt>
          <c:dPt>
            <c:idx val="1"/>
            <c:bubble3D val="0"/>
            <c:spPr>
              <a:solidFill>
                <a:srgbClr val="993366"/>
              </a:solidFill>
              <a:ln w="12700">
                <a:solidFill>
                  <a:srgbClr val="333333"/>
                </a:solidFill>
                <a:prstDash val="solid"/>
              </a:ln>
            </c:spPr>
          </c:dPt>
          <c:dPt>
            <c:idx val="2"/>
            <c:bubble3D val="0"/>
            <c:spPr>
              <a:solidFill>
                <a:srgbClr val="FFFFCC"/>
              </a:solidFill>
              <a:ln w="12700">
                <a:solidFill>
                  <a:srgbClr val="333333"/>
                </a:solidFill>
                <a:prstDash val="solid"/>
              </a:ln>
            </c:spPr>
          </c:dPt>
          <c:dPt>
            <c:idx val="3"/>
            <c:bubble3D val="0"/>
            <c:spPr>
              <a:solidFill>
                <a:srgbClr val="CCFFFF"/>
              </a:solidFill>
              <a:ln w="12700">
                <a:solidFill>
                  <a:srgbClr val="333333"/>
                </a:solidFill>
                <a:prstDash val="solid"/>
              </a:ln>
            </c:spPr>
          </c:dPt>
          <c:dPt>
            <c:idx val="4"/>
            <c:bubble3D val="0"/>
            <c:spPr>
              <a:solidFill>
                <a:srgbClr val="660066"/>
              </a:solidFill>
              <a:ln w="12700">
                <a:solidFill>
                  <a:srgbClr val="333333"/>
                </a:solidFill>
                <a:prstDash val="solid"/>
              </a:ln>
            </c:spPr>
          </c:dPt>
          <c:dLbls>
            <c:txPr>
              <a:bodyPr/>
              <a:lstStyle/>
              <a:p>
                <a:pPr>
                  <a:defRPr sz="1000" b="0" i="0" u="none" strike="noStrike" baseline="0">
                    <a:solidFill>
                      <a:srgbClr val="333333"/>
                    </a:solidFill>
                    <a:latin typeface="Microsoft Sans Serif"/>
                    <a:ea typeface="Microsoft Sans Serif"/>
                    <a:cs typeface="Microsoft Sans Serif"/>
                  </a:defRPr>
                </a:pPr>
                <a:endParaRPr lang="en-US"/>
              </a:p>
            </c:txPr>
            <c:dLblPos val="outEnd"/>
            <c:showLegendKey val="0"/>
            <c:showVal val="1"/>
            <c:showCatName val="0"/>
            <c:showSerName val="0"/>
            <c:showPercent val="0"/>
            <c:showBubbleSize val="0"/>
            <c:showLeaderLines val="1"/>
          </c:dLbls>
          <c:cat>
            <c:strRef>
              <c:f>'Question 4'!$A$4:$A$8</c:f>
              <c:strCache>
                <c:ptCount val="5"/>
                <c:pt idx="0">
                  <c:v>Agree Strongly</c:v>
                </c:pt>
                <c:pt idx="1">
                  <c:v>Agree</c:v>
                </c:pt>
                <c:pt idx="2">
                  <c:v>Disagree</c:v>
                </c:pt>
                <c:pt idx="3">
                  <c:v>Disagree Strongly</c:v>
                </c:pt>
                <c:pt idx="4">
                  <c:v>Don't Know</c:v>
                </c:pt>
              </c:strCache>
            </c:strRef>
          </c:cat>
          <c:val>
            <c:numRef>
              <c:f>'Question 4'!$C$4:$C$8</c:f>
              <c:numCache>
                <c:formatCode>0.0%</c:formatCode>
                <c:ptCount val="5"/>
                <c:pt idx="0">
                  <c:v>1.3000000000000001E-2</c:v>
                </c:pt>
                <c:pt idx="1">
                  <c:v>0.11699999999999999</c:v>
                </c:pt>
                <c:pt idx="2">
                  <c:v>0.58399999999999996</c:v>
                </c:pt>
                <c:pt idx="3">
                  <c:v>0.16899999999999998</c:v>
                </c:pt>
                <c:pt idx="4">
                  <c:v>0.11699999999999999</c:v>
                </c:pt>
              </c:numCache>
            </c:numRef>
          </c:val>
        </c:ser>
        <c:dLbls>
          <c:dLblPos val="outEnd"/>
          <c:showLegendKey val="0"/>
          <c:showVal val="1"/>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7638901647710703"/>
          <c:y val="0.42353002933456846"/>
          <c:w val="0.22222258675998829"/>
          <c:h val="0.31176501466728418"/>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GB"/>
              <a:t>Since September 2012, our ability to quality assure work has improved.</a:t>
            </a:r>
          </a:p>
        </c:rich>
      </c:tx>
      <c:layout>
        <c:manualLayout>
          <c:xMode val="edge"/>
          <c:yMode val="edge"/>
          <c:x val="0.13715296004666083"/>
          <c:y val="3.5294117647058823E-2"/>
        </c:manualLayout>
      </c:layout>
      <c:overlay val="0"/>
      <c:spPr>
        <a:noFill/>
        <a:ln w="25400">
          <a:noFill/>
        </a:ln>
      </c:spPr>
    </c:title>
    <c:autoTitleDeleted val="0"/>
    <c:plotArea>
      <c:layout>
        <c:manualLayout>
          <c:layoutTarget val="inner"/>
          <c:xMode val="edge"/>
          <c:yMode val="edge"/>
          <c:x val="0.18923643194653311"/>
          <c:y val="0.24705917833636595"/>
          <c:w val="0.39236177632950903"/>
          <c:h val="0.66470683695260357"/>
        </c:manualLayout>
      </c:layout>
      <c:pieChart>
        <c:varyColors val="1"/>
        <c:ser>
          <c:idx val="0"/>
          <c:order val="0"/>
          <c:spPr>
            <a:solidFill>
              <a:srgbClr val="9999FF"/>
            </a:solidFill>
            <a:ln w="12700">
              <a:solidFill>
                <a:srgbClr val="333333"/>
              </a:solidFill>
              <a:prstDash val="solid"/>
            </a:ln>
          </c:spPr>
          <c:dPt>
            <c:idx val="0"/>
            <c:bubble3D val="0"/>
          </c:dPt>
          <c:dPt>
            <c:idx val="1"/>
            <c:bubble3D val="0"/>
            <c:spPr>
              <a:solidFill>
                <a:srgbClr val="993366"/>
              </a:solidFill>
              <a:ln w="12700">
                <a:solidFill>
                  <a:srgbClr val="333333"/>
                </a:solidFill>
                <a:prstDash val="solid"/>
              </a:ln>
            </c:spPr>
          </c:dPt>
          <c:dPt>
            <c:idx val="2"/>
            <c:bubble3D val="0"/>
            <c:spPr>
              <a:solidFill>
                <a:srgbClr val="FFFFCC"/>
              </a:solidFill>
              <a:ln w="12700">
                <a:solidFill>
                  <a:srgbClr val="333333"/>
                </a:solidFill>
                <a:prstDash val="solid"/>
              </a:ln>
            </c:spPr>
          </c:dPt>
          <c:dPt>
            <c:idx val="3"/>
            <c:bubble3D val="0"/>
            <c:spPr>
              <a:solidFill>
                <a:srgbClr val="CCFFFF"/>
              </a:solidFill>
              <a:ln w="12700">
                <a:solidFill>
                  <a:srgbClr val="333333"/>
                </a:solidFill>
                <a:prstDash val="solid"/>
              </a:ln>
            </c:spPr>
          </c:dPt>
          <c:dPt>
            <c:idx val="4"/>
            <c:bubble3D val="0"/>
            <c:spPr>
              <a:solidFill>
                <a:srgbClr val="660066"/>
              </a:solidFill>
              <a:ln w="12700">
                <a:solidFill>
                  <a:srgbClr val="333333"/>
                </a:solidFill>
                <a:prstDash val="solid"/>
              </a:ln>
            </c:spPr>
          </c:dPt>
          <c:dLbls>
            <c:txPr>
              <a:bodyPr/>
              <a:lstStyle/>
              <a:p>
                <a:pPr>
                  <a:defRPr sz="1000" b="0" i="0" u="none" strike="noStrike" baseline="0">
                    <a:solidFill>
                      <a:srgbClr val="333333"/>
                    </a:solidFill>
                    <a:latin typeface="Microsoft Sans Serif"/>
                    <a:ea typeface="Microsoft Sans Serif"/>
                    <a:cs typeface="Microsoft Sans Serif"/>
                  </a:defRPr>
                </a:pPr>
                <a:endParaRPr lang="en-US"/>
              </a:p>
            </c:txPr>
            <c:dLblPos val="outEnd"/>
            <c:showLegendKey val="0"/>
            <c:showVal val="1"/>
            <c:showCatName val="0"/>
            <c:showSerName val="0"/>
            <c:showPercent val="0"/>
            <c:showBubbleSize val="0"/>
            <c:showLeaderLines val="1"/>
          </c:dLbls>
          <c:cat>
            <c:strRef>
              <c:f>'Question 5'!$A$4:$A$8</c:f>
              <c:strCache>
                <c:ptCount val="5"/>
                <c:pt idx="0">
                  <c:v>Agree Strongly</c:v>
                </c:pt>
                <c:pt idx="1">
                  <c:v>Agree</c:v>
                </c:pt>
                <c:pt idx="2">
                  <c:v>Disagree</c:v>
                </c:pt>
                <c:pt idx="3">
                  <c:v>Disagree Strongly</c:v>
                </c:pt>
                <c:pt idx="4">
                  <c:v>Don't Know</c:v>
                </c:pt>
              </c:strCache>
            </c:strRef>
          </c:cat>
          <c:val>
            <c:numRef>
              <c:f>'Question 5'!$C$4:$C$8</c:f>
              <c:numCache>
                <c:formatCode>0.0%</c:formatCode>
                <c:ptCount val="5"/>
                <c:pt idx="0">
                  <c:v>0.11699999999999999</c:v>
                </c:pt>
                <c:pt idx="1">
                  <c:v>0.377</c:v>
                </c:pt>
                <c:pt idx="2">
                  <c:v>0.39</c:v>
                </c:pt>
                <c:pt idx="3">
                  <c:v>2.6000000000000002E-2</c:v>
                </c:pt>
                <c:pt idx="4">
                  <c:v>9.0999999999999998E-2</c:v>
                </c:pt>
              </c:numCache>
            </c:numRef>
          </c:val>
        </c:ser>
        <c:dLbls>
          <c:showLegendKey val="0"/>
          <c:showVal val="0"/>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7638901647710703"/>
          <c:y val="0.42353002933456846"/>
          <c:w val="0.22222258675998829"/>
          <c:h val="0.31176501466728418"/>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GB"/>
              <a:t>Since September 2012, overall, opportunities for young people to engage in music have improved</a:t>
            </a:r>
          </a:p>
        </c:rich>
      </c:tx>
      <c:layout>
        <c:manualLayout>
          <c:xMode val="edge"/>
          <c:yMode val="edge"/>
          <c:x val="0.10937518226888304"/>
          <c:y val="3.5294117647058823E-2"/>
        </c:manualLayout>
      </c:layout>
      <c:overlay val="0"/>
      <c:spPr>
        <a:noFill/>
        <a:ln w="25400">
          <a:noFill/>
        </a:ln>
      </c:spPr>
    </c:title>
    <c:autoTitleDeleted val="0"/>
    <c:plotArea>
      <c:layout>
        <c:manualLayout>
          <c:layoutTarget val="inner"/>
          <c:xMode val="edge"/>
          <c:yMode val="edge"/>
          <c:x val="0.18923643194653311"/>
          <c:y val="0.24705917833636595"/>
          <c:w val="0.39236177632950903"/>
          <c:h val="0.66470683695260357"/>
        </c:manualLayout>
      </c:layout>
      <c:pieChart>
        <c:varyColors val="1"/>
        <c:ser>
          <c:idx val="0"/>
          <c:order val="0"/>
          <c:spPr>
            <a:solidFill>
              <a:srgbClr val="9999FF"/>
            </a:solidFill>
            <a:ln w="12700">
              <a:solidFill>
                <a:srgbClr val="333333"/>
              </a:solidFill>
              <a:prstDash val="solid"/>
            </a:ln>
          </c:spPr>
          <c:dPt>
            <c:idx val="0"/>
            <c:bubble3D val="0"/>
          </c:dPt>
          <c:dPt>
            <c:idx val="1"/>
            <c:bubble3D val="0"/>
            <c:spPr>
              <a:solidFill>
                <a:srgbClr val="993366"/>
              </a:solidFill>
              <a:ln w="12700">
                <a:solidFill>
                  <a:srgbClr val="333333"/>
                </a:solidFill>
                <a:prstDash val="solid"/>
              </a:ln>
            </c:spPr>
          </c:dPt>
          <c:dPt>
            <c:idx val="2"/>
            <c:bubble3D val="0"/>
            <c:spPr>
              <a:solidFill>
                <a:srgbClr val="FFFFCC"/>
              </a:solidFill>
              <a:ln w="12700">
                <a:solidFill>
                  <a:srgbClr val="333333"/>
                </a:solidFill>
                <a:prstDash val="solid"/>
              </a:ln>
            </c:spPr>
          </c:dPt>
          <c:dPt>
            <c:idx val="3"/>
            <c:bubble3D val="0"/>
            <c:spPr>
              <a:solidFill>
                <a:srgbClr val="CCFFFF"/>
              </a:solidFill>
              <a:ln w="12700">
                <a:solidFill>
                  <a:srgbClr val="333333"/>
                </a:solidFill>
                <a:prstDash val="solid"/>
              </a:ln>
            </c:spPr>
          </c:dPt>
          <c:dPt>
            <c:idx val="4"/>
            <c:bubble3D val="0"/>
            <c:spPr>
              <a:solidFill>
                <a:srgbClr val="660066"/>
              </a:solidFill>
              <a:ln w="12700">
                <a:solidFill>
                  <a:srgbClr val="333333"/>
                </a:solidFill>
                <a:prstDash val="solid"/>
              </a:ln>
            </c:spPr>
          </c:dPt>
          <c:dLbls>
            <c:txPr>
              <a:bodyPr/>
              <a:lstStyle/>
              <a:p>
                <a:pPr>
                  <a:defRPr sz="1000" b="0" i="0" u="none" strike="noStrike" baseline="0">
                    <a:solidFill>
                      <a:srgbClr val="333333"/>
                    </a:solidFill>
                    <a:latin typeface="Microsoft Sans Serif"/>
                    <a:ea typeface="Microsoft Sans Serif"/>
                    <a:cs typeface="Microsoft Sans Serif"/>
                  </a:defRPr>
                </a:pPr>
                <a:endParaRPr lang="en-US"/>
              </a:p>
            </c:txPr>
            <c:dLblPos val="outEnd"/>
            <c:showLegendKey val="0"/>
            <c:showVal val="1"/>
            <c:showCatName val="0"/>
            <c:showSerName val="0"/>
            <c:showPercent val="0"/>
            <c:showBubbleSize val="0"/>
            <c:showLeaderLines val="1"/>
          </c:dLbls>
          <c:cat>
            <c:strRef>
              <c:f>'Question 7'!$A$4:$A$8</c:f>
              <c:strCache>
                <c:ptCount val="5"/>
                <c:pt idx="0">
                  <c:v>Agree Strongly</c:v>
                </c:pt>
                <c:pt idx="1">
                  <c:v>Agree</c:v>
                </c:pt>
                <c:pt idx="2">
                  <c:v>Disagree</c:v>
                </c:pt>
                <c:pt idx="3">
                  <c:v>Disagree Strongly</c:v>
                </c:pt>
                <c:pt idx="4">
                  <c:v>Don't Know</c:v>
                </c:pt>
              </c:strCache>
            </c:strRef>
          </c:cat>
          <c:val>
            <c:numRef>
              <c:f>'Question 7'!$C$4:$C$8</c:f>
              <c:numCache>
                <c:formatCode>0.0%</c:formatCode>
                <c:ptCount val="5"/>
                <c:pt idx="0">
                  <c:v>0.14300000000000002</c:v>
                </c:pt>
                <c:pt idx="1">
                  <c:v>0.63600000000000001</c:v>
                </c:pt>
                <c:pt idx="2">
                  <c:v>0.156</c:v>
                </c:pt>
                <c:pt idx="3">
                  <c:v>0</c:v>
                </c:pt>
                <c:pt idx="4">
                  <c:v>6.5000000000000002E-2</c:v>
                </c:pt>
              </c:numCache>
            </c:numRef>
          </c:val>
        </c:ser>
        <c:dLbls>
          <c:dLblPos val="outEnd"/>
          <c:showLegendKey val="0"/>
          <c:showVal val="1"/>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7638901647710703"/>
          <c:y val="0.42353002933456846"/>
          <c:w val="0.22222258675998829"/>
          <c:h val="0.31176501466728418"/>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First Access</a:t>
            </a:r>
          </a:p>
        </c:rich>
      </c:tx>
      <c:overlay val="1"/>
    </c:title>
    <c:autoTitleDeleted val="0"/>
    <c:plotArea>
      <c:layout/>
      <c:barChart>
        <c:barDir val="col"/>
        <c:grouping val="clustered"/>
        <c:varyColors val="0"/>
        <c:ser>
          <c:idx val="0"/>
          <c:order val="0"/>
          <c:invertIfNegative val="0"/>
          <c:val>
            <c:numRef>
              <c:f>'First Access'!$M$4:$M$31</c:f>
              <c:numCache>
                <c:formatCode>0%</c:formatCode>
                <c:ptCount val="28"/>
                <c:pt idx="0">
                  <c:v>0.23398328690807799</c:v>
                </c:pt>
                <c:pt idx="1">
                  <c:v>0.31316725978647686</c:v>
                </c:pt>
                <c:pt idx="2">
                  <c:v>0.32817337461300311</c:v>
                </c:pt>
                <c:pt idx="3">
                  <c:v>0.33437499999999998</c:v>
                </c:pt>
                <c:pt idx="4">
                  <c:v>0.51219512195121952</c:v>
                </c:pt>
                <c:pt idx="5">
                  <c:v>0.56333333333333335</c:v>
                </c:pt>
                <c:pt idx="6">
                  <c:v>0.56629213483146068</c:v>
                </c:pt>
                <c:pt idx="7">
                  <c:v>0.58139534883720934</c:v>
                </c:pt>
                <c:pt idx="8">
                  <c:v>0.61904761904761907</c:v>
                </c:pt>
                <c:pt idx="9">
                  <c:v>0.65217391304347827</c:v>
                </c:pt>
                <c:pt idx="10">
                  <c:v>0.66129032258064513</c:v>
                </c:pt>
                <c:pt idx="11">
                  <c:v>0.67816091954022983</c:v>
                </c:pt>
                <c:pt idx="12">
                  <c:v>0.67910447761194026</c:v>
                </c:pt>
                <c:pt idx="13">
                  <c:v>0.68064952638700948</c:v>
                </c:pt>
                <c:pt idx="14">
                  <c:v>0.71186440677966101</c:v>
                </c:pt>
                <c:pt idx="15">
                  <c:v>0.75609756097560976</c:v>
                </c:pt>
                <c:pt idx="16">
                  <c:v>0.77952755905511806</c:v>
                </c:pt>
                <c:pt idx="17">
                  <c:v>0.78378378378378377</c:v>
                </c:pt>
                <c:pt idx="18">
                  <c:v>0.78787878787878785</c:v>
                </c:pt>
                <c:pt idx="19">
                  <c:v>0.78813559322033899</c:v>
                </c:pt>
                <c:pt idx="20">
                  <c:v>0.82239382239382242</c:v>
                </c:pt>
                <c:pt idx="21">
                  <c:v>0.86170212765957444</c:v>
                </c:pt>
                <c:pt idx="22">
                  <c:v>0.93661971830985913</c:v>
                </c:pt>
                <c:pt idx="23">
                  <c:v>0.95522388059701491</c:v>
                </c:pt>
                <c:pt idx="24">
                  <c:v>0.95652173913043481</c:v>
                </c:pt>
                <c:pt idx="25">
                  <c:v>1</c:v>
                </c:pt>
                <c:pt idx="26">
                  <c:v>1</c:v>
                </c:pt>
                <c:pt idx="27">
                  <c:v>1</c:v>
                </c:pt>
              </c:numCache>
            </c:numRef>
          </c:val>
        </c:ser>
        <c:dLbls>
          <c:showLegendKey val="0"/>
          <c:showVal val="0"/>
          <c:showCatName val="0"/>
          <c:showSerName val="0"/>
          <c:showPercent val="0"/>
          <c:showBubbleSize val="0"/>
        </c:dLbls>
        <c:gapWidth val="150"/>
        <c:axId val="130770816"/>
        <c:axId val="130772352"/>
      </c:barChart>
      <c:catAx>
        <c:axId val="130770816"/>
        <c:scaling>
          <c:orientation val="minMax"/>
        </c:scaling>
        <c:delete val="0"/>
        <c:axPos val="b"/>
        <c:majorTickMark val="out"/>
        <c:minorTickMark val="none"/>
        <c:tickLblPos val="nextTo"/>
        <c:crossAx val="130772352"/>
        <c:crosses val="autoZero"/>
        <c:auto val="1"/>
        <c:lblAlgn val="ctr"/>
        <c:lblOffset val="100"/>
        <c:noMultiLvlLbl val="0"/>
      </c:catAx>
      <c:valAx>
        <c:axId val="130772352"/>
        <c:scaling>
          <c:orientation val="minMax"/>
          <c:max val="1"/>
        </c:scaling>
        <c:delete val="0"/>
        <c:axPos val="l"/>
        <c:majorGridlines/>
        <c:numFmt formatCode="0%" sourceLinked="1"/>
        <c:majorTickMark val="out"/>
        <c:minorTickMark val="none"/>
        <c:tickLblPos val="nextTo"/>
        <c:crossAx val="13077081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First Access continuation</a:t>
            </a:r>
          </a:p>
        </c:rich>
      </c:tx>
      <c:overlay val="1"/>
    </c:title>
    <c:autoTitleDeleted val="0"/>
    <c:plotArea>
      <c:layout/>
      <c:barChart>
        <c:barDir val="col"/>
        <c:grouping val="clustered"/>
        <c:varyColors val="0"/>
        <c:ser>
          <c:idx val="0"/>
          <c:order val="0"/>
          <c:invertIfNegative val="0"/>
          <c:val>
            <c:numRef>
              <c:f>'1st access continuation'!$C$4:$C$31</c:f>
              <c:numCache>
                <c:formatCode>0%</c:formatCode>
                <c:ptCount val="28"/>
                <c:pt idx="0">
                  <c:v>5.23642047674873E-2</c:v>
                </c:pt>
                <c:pt idx="1">
                  <c:v>0.11503112955825674</c:v>
                </c:pt>
                <c:pt idx="2">
                  <c:v>0.11982248520710059</c:v>
                </c:pt>
                <c:pt idx="3">
                  <c:v>0.12564543889845095</c:v>
                </c:pt>
                <c:pt idx="4">
                  <c:v>0.14660672853828308</c:v>
                </c:pt>
                <c:pt idx="5">
                  <c:v>0.15895953757225434</c:v>
                </c:pt>
                <c:pt idx="6">
                  <c:v>0.1863784665579119</c:v>
                </c:pt>
                <c:pt idx="7">
                  <c:v>0.20490725865342485</c:v>
                </c:pt>
                <c:pt idx="8">
                  <c:v>0.23277849985325563</c:v>
                </c:pt>
                <c:pt idx="9">
                  <c:v>0.23363932484453656</c:v>
                </c:pt>
                <c:pt idx="10">
                  <c:v>0.24090909090909091</c:v>
                </c:pt>
                <c:pt idx="11">
                  <c:v>0.2953639082751745</c:v>
                </c:pt>
                <c:pt idx="12">
                  <c:v>0.30001005732676256</c:v>
                </c:pt>
                <c:pt idx="13">
                  <c:v>0.30711354309165528</c:v>
                </c:pt>
                <c:pt idx="14">
                  <c:v>0.32011795543905636</c:v>
                </c:pt>
                <c:pt idx="15">
                  <c:v>0.32565789473684209</c:v>
                </c:pt>
                <c:pt idx="16">
                  <c:v>0.35997012696041825</c:v>
                </c:pt>
                <c:pt idx="17">
                  <c:v>0.3767827529021559</c:v>
                </c:pt>
                <c:pt idx="18">
                  <c:v>0.38684931506849313</c:v>
                </c:pt>
                <c:pt idx="19">
                  <c:v>0.432475884244373</c:v>
                </c:pt>
                <c:pt idx="20">
                  <c:v>0.45981930575368524</c:v>
                </c:pt>
                <c:pt idx="21">
                  <c:v>0.46441947565543074</c:v>
                </c:pt>
                <c:pt idx="22">
                  <c:v>0.47674418604651164</c:v>
                </c:pt>
                <c:pt idx="23">
                  <c:v>0.47878787878787876</c:v>
                </c:pt>
                <c:pt idx="24">
                  <c:v>0.53342766183233115</c:v>
                </c:pt>
                <c:pt idx="25">
                  <c:v>0.62543600751274486</c:v>
                </c:pt>
                <c:pt idx="26">
                  <c:v>0.66995285040720098</c:v>
                </c:pt>
                <c:pt idx="27">
                  <c:v>0.69972826086956519</c:v>
                </c:pt>
              </c:numCache>
            </c:numRef>
          </c:val>
        </c:ser>
        <c:dLbls>
          <c:showLegendKey val="0"/>
          <c:showVal val="0"/>
          <c:showCatName val="0"/>
          <c:showSerName val="0"/>
          <c:showPercent val="0"/>
          <c:showBubbleSize val="0"/>
        </c:dLbls>
        <c:gapWidth val="150"/>
        <c:axId val="130796544"/>
        <c:axId val="130802432"/>
      </c:barChart>
      <c:catAx>
        <c:axId val="130796544"/>
        <c:scaling>
          <c:orientation val="minMax"/>
        </c:scaling>
        <c:delete val="0"/>
        <c:axPos val="b"/>
        <c:majorTickMark val="out"/>
        <c:minorTickMark val="none"/>
        <c:tickLblPos val="nextTo"/>
        <c:crossAx val="130802432"/>
        <c:crosses val="autoZero"/>
        <c:auto val="1"/>
        <c:lblAlgn val="ctr"/>
        <c:lblOffset val="100"/>
        <c:noMultiLvlLbl val="0"/>
      </c:catAx>
      <c:valAx>
        <c:axId val="130802432"/>
        <c:scaling>
          <c:orientation val="minMax"/>
        </c:scaling>
        <c:delete val="0"/>
        <c:axPos val="l"/>
        <c:majorGridlines/>
        <c:numFmt formatCode="0%" sourceLinked="1"/>
        <c:majorTickMark val="out"/>
        <c:minorTickMark val="none"/>
        <c:tickLblPos val="nextTo"/>
        <c:crossAx val="13079654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Pre level 1 standards</a:t>
            </a:r>
          </a:p>
        </c:rich>
      </c:tx>
      <c:overlay val="1"/>
    </c:title>
    <c:autoTitleDeleted val="0"/>
    <c:plotArea>
      <c:layout/>
      <c:barChart>
        <c:barDir val="col"/>
        <c:grouping val="clustered"/>
        <c:varyColors val="0"/>
        <c:ser>
          <c:idx val="0"/>
          <c:order val="0"/>
          <c:invertIfNegative val="0"/>
          <c:val>
            <c:numRef>
              <c:f>Progression!$D$3:$D$30</c:f>
              <c:numCache>
                <c:formatCode>0.0%</c:formatCode>
                <c:ptCount val="28"/>
                <c:pt idx="0">
                  <c:v>0.42004750133294555</c:v>
                </c:pt>
                <c:pt idx="1">
                  <c:v>0.45454545454545453</c:v>
                </c:pt>
                <c:pt idx="2">
                  <c:v>0.50909743835288479</c:v>
                </c:pt>
                <c:pt idx="3">
                  <c:v>0.5160109789569991</c:v>
                </c:pt>
                <c:pt idx="4">
                  <c:v>0.54671649759743723</c:v>
                </c:pt>
                <c:pt idx="5">
                  <c:v>0.60574268360022088</c:v>
                </c:pt>
                <c:pt idx="6">
                  <c:v>0.64544959128065393</c:v>
                </c:pt>
                <c:pt idx="7">
                  <c:v>0.6724035608308605</c:v>
                </c:pt>
                <c:pt idx="8">
                  <c:v>0.6859652625274506</c:v>
                </c:pt>
                <c:pt idx="9">
                  <c:v>0.70224454237982992</c:v>
                </c:pt>
                <c:pt idx="10">
                  <c:v>0.72516515019319461</c:v>
                </c:pt>
                <c:pt idx="11">
                  <c:v>0.74512353706111834</c:v>
                </c:pt>
                <c:pt idx="12">
                  <c:v>0.75025703336760441</c:v>
                </c:pt>
                <c:pt idx="13">
                  <c:v>0.76475613116561036</c:v>
                </c:pt>
                <c:pt idx="14">
                  <c:v>0.77376067428191198</c:v>
                </c:pt>
                <c:pt idx="15">
                  <c:v>0.78030303030303028</c:v>
                </c:pt>
                <c:pt idx="16">
                  <c:v>0.78457204407987402</c:v>
                </c:pt>
                <c:pt idx="17">
                  <c:v>0.78460142187263648</c:v>
                </c:pt>
                <c:pt idx="18">
                  <c:v>0.80497973364215403</c:v>
                </c:pt>
                <c:pt idx="19">
                  <c:v>0.81604823747680888</c:v>
                </c:pt>
                <c:pt idx="20">
                  <c:v>0.8358635470619753</c:v>
                </c:pt>
                <c:pt idx="21">
                  <c:v>0.83805904706226253</c:v>
                </c:pt>
                <c:pt idx="22">
                  <c:v>0.84212564877217444</c:v>
                </c:pt>
                <c:pt idx="23">
                  <c:v>0.85931100939532645</c:v>
                </c:pt>
                <c:pt idx="24">
                  <c:v>0.89365351629502576</c:v>
                </c:pt>
                <c:pt idx="25">
                  <c:v>0.90214113389626061</c:v>
                </c:pt>
                <c:pt idx="26">
                  <c:v>0.91792954142885264</c:v>
                </c:pt>
                <c:pt idx="27">
                  <c:v>0.9250720461095101</c:v>
                </c:pt>
              </c:numCache>
            </c:numRef>
          </c:val>
        </c:ser>
        <c:dLbls>
          <c:showLegendKey val="0"/>
          <c:showVal val="0"/>
          <c:showCatName val="0"/>
          <c:showSerName val="0"/>
          <c:showPercent val="0"/>
          <c:showBubbleSize val="0"/>
        </c:dLbls>
        <c:gapWidth val="150"/>
        <c:axId val="131215744"/>
        <c:axId val="131217280"/>
      </c:barChart>
      <c:catAx>
        <c:axId val="131215744"/>
        <c:scaling>
          <c:orientation val="minMax"/>
        </c:scaling>
        <c:delete val="0"/>
        <c:axPos val="b"/>
        <c:majorTickMark val="out"/>
        <c:minorTickMark val="none"/>
        <c:tickLblPos val="nextTo"/>
        <c:crossAx val="131217280"/>
        <c:crosses val="autoZero"/>
        <c:auto val="1"/>
        <c:lblAlgn val="ctr"/>
        <c:lblOffset val="100"/>
        <c:noMultiLvlLbl val="0"/>
      </c:catAx>
      <c:valAx>
        <c:axId val="131217280"/>
        <c:scaling>
          <c:orientation val="minMax"/>
        </c:scaling>
        <c:delete val="0"/>
        <c:axPos val="l"/>
        <c:majorGridlines/>
        <c:numFmt formatCode="0.0%" sourceLinked="1"/>
        <c:majorTickMark val="out"/>
        <c:minorTickMark val="none"/>
        <c:tickLblPos val="nextTo"/>
        <c:crossAx val="1312157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2CE4-570E-4045-BB4F-AC84E4AE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dick</cp:lastModifiedBy>
  <cp:revision>2</cp:revision>
  <cp:lastPrinted>2014-03-27T09:33:00Z</cp:lastPrinted>
  <dcterms:created xsi:type="dcterms:W3CDTF">2014-10-14T15:13:00Z</dcterms:created>
  <dcterms:modified xsi:type="dcterms:W3CDTF">2014-10-14T15:13:00Z</dcterms:modified>
</cp:coreProperties>
</file>